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D3208" w:rsidTr="007C69D2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8D3208" w:rsidRDefault="008D3208" w:rsidP="007C69D2">
            <w:pPr>
              <w:snapToGrid w:val="0"/>
              <w:jc w:val="both"/>
              <w:rPr>
                <w:shadow/>
                <w:kern w:val="2"/>
                <w:lang w:val="en-GB" w:eastAsia="zh-CN"/>
              </w:rPr>
            </w:pPr>
            <w:r>
              <w:rPr>
                <w:shadow/>
                <w:kern w:val="2"/>
                <w:lang w:val="en-GB" w:eastAsia="zh-CN"/>
              </w:rPr>
              <w:ptab w:relativeTo="margin" w:alignment="center" w:leader="none"/>
            </w:r>
          </w:p>
          <w:p w:rsidR="008D3208" w:rsidRDefault="008D3208" w:rsidP="007C69D2">
            <w:pPr>
              <w:jc w:val="center"/>
              <w:rPr>
                <w:b/>
                <w:shadow/>
                <w:lang w:val="en-US"/>
              </w:rPr>
            </w:pPr>
            <w:r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8D3208" w:rsidRDefault="008D3208" w:rsidP="007C69D2">
            <w:pPr>
              <w:jc w:val="center"/>
              <w:rPr>
                <w:b/>
                <w:shadow/>
                <w:lang w:val="ro-RO"/>
              </w:rPr>
            </w:pPr>
            <w:r>
              <w:rPr>
                <w:b/>
                <w:shadow/>
                <w:lang w:val="ro-RO"/>
              </w:rPr>
              <w:t>RAIONUL ORHEI</w:t>
            </w:r>
          </w:p>
          <w:p w:rsidR="008D3208" w:rsidRDefault="008D3208" w:rsidP="007C69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PRIMĂRIA COMUNEI</w:t>
            </w:r>
          </w:p>
          <w:p w:rsidR="008D3208" w:rsidRDefault="008D3208" w:rsidP="007C69D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JORA DE MIJLOC</w:t>
            </w:r>
          </w:p>
          <w:p w:rsidR="008D3208" w:rsidRDefault="008D3208" w:rsidP="007C69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MD 3534 com. Jora de Mijloc</w:t>
            </w:r>
          </w:p>
          <w:p w:rsidR="008D3208" w:rsidRDefault="008D3208" w:rsidP="007C69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Tel. (235)-55-1-36, 55-2-36</w:t>
            </w:r>
          </w:p>
          <w:p w:rsidR="008D3208" w:rsidRDefault="008D3208" w:rsidP="007C69D2">
            <w:pPr>
              <w:suppressAutoHyphens/>
              <w:rPr>
                <w:kern w:val="2"/>
                <w:lang w:val="ro-RO" w:eastAsia="zh-CN"/>
              </w:rPr>
            </w:pPr>
            <w:r>
              <w:rPr>
                <w:lang w:val="ro-RO"/>
              </w:rPr>
              <w:t xml:space="preserve">                 </w:t>
            </w:r>
            <w:r>
              <w:rPr>
                <w:b/>
                <w:lang w:val="ro-RO"/>
              </w:rPr>
              <w:t xml:space="preserve">c/f 1007601001684  </w:t>
            </w:r>
            <w:r>
              <w:rPr>
                <w:lang w:val="ro-RO"/>
              </w:rPr>
              <w:t xml:space="preserve">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D3208" w:rsidRDefault="008D3208" w:rsidP="007C69D2">
            <w:pPr>
              <w:rPr>
                <w:lang w:val="fr-FR"/>
              </w:rPr>
            </w:pPr>
          </w:p>
          <w:p w:rsidR="008D3208" w:rsidRDefault="008D3208" w:rsidP="007C69D2">
            <w:pPr>
              <w:suppressAutoHyphens/>
              <w:jc w:val="center"/>
              <w:rPr>
                <w:lang w:val="en-US"/>
              </w:rPr>
            </w:pPr>
          </w:p>
          <w:p w:rsidR="008D3208" w:rsidRDefault="008D3208" w:rsidP="007C69D2">
            <w:pPr>
              <w:suppressAutoHyphens/>
              <w:jc w:val="center"/>
              <w:rPr>
                <w:lang w:val="en-US"/>
              </w:rPr>
            </w:pPr>
          </w:p>
          <w:p w:rsidR="008D3208" w:rsidRDefault="008D3208" w:rsidP="007C69D2">
            <w:pPr>
              <w:suppressAutoHyphens/>
              <w:jc w:val="center"/>
              <w:rPr>
                <w:shadow/>
                <w:kern w:val="2"/>
                <w:lang w:val="ro-RO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533400" cy="695325"/>
                  <wp:effectExtent l="38100" t="19050" r="19050" b="28575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D3208" w:rsidRDefault="008D3208" w:rsidP="007C69D2">
            <w:pPr>
              <w:snapToGrid w:val="0"/>
              <w:jc w:val="center"/>
              <w:rPr>
                <w:shadow/>
                <w:kern w:val="2"/>
                <w:lang w:val="ro-RO" w:eastAsia="zh-CN"/>
              </w:rPr>
            </w:pPr>
          </w:p>
          <w:p w:rsidR="008D3208" w:rsidRDefault="008D3208" w:rsidP="007C69D2">
            <w:pPr>
              <w:jc w:val="center"/>
              <w:rPr>
                <w:b/>
                <w:shadow/>
                <w:lang w:val="ro-RO"/>
              </w:rPr>
            </w:pPr>
            <w:r>
              <w:rPr>
                <w:b/>
                <w:shadow/>
                <w:lang w:val="ro-RO"/>
              </w:rPr>
              <w:t>РЕСПУБЛИКА МОЛДОВА</w:t>
            </w:r>
          </w:p>
          <w:p w:rsidR="008D3208" w:rsidRDefault="008D3208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ОРХЕЙСКИЙ РАЙОН</w:t>
            </w:r>
          </w:p>
          <w:p w:rsidR="008D3208" w:rsidRDefault="008D3208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 xml:space="preserve">ПРИМЭРИЯ КОМУННЫ </w:t>
            </w:r>
          </w:p>
          <w:p w:rsidR="008D3208" w:rsidRDefault="008D3208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ЖОРА ДЕ МИЖЛОК</w:t>
            </w:r>
          </w:p>
          <w:p w:rsidR="008D3208" w:rsidRDefault="008D3208" w:rsidP="007C69D2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МД 3534</w:t>
            </w:r>
            <w:r>
              <w:rPr>
                <w:b/>
              </w:rPr>
              <w:t xml:space="preserve"> ком</w:t>
            </w:r>
            <w:r>
              <w:rPr>
                <w:b/>
                <w:lang w:val="ro-RO"/>
              </w:rPr>
              <w:t xml:space="preserve">. </w:t>
            </w:r>
            <w:r>
              <w:rPr>
                <w:b/>
              </w:rPr>
              <w:t xml:space="preserve">Жора де </w:t>
            </w:r>
            <w:proofErr w:type="spellStart"/>
            <w:r>
              <w:rPr>
                <w:b/>
              </w:rPr>
              <w:t>Мижлок</w:t>
            </w:r>
            <w:proofErr w:type="spellEnd"/>
          </w:p>
          <w:p w:rsidR="008D3208" w:rsidRDefault="008D3208" w:rsidP="007C69D2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Тел. (235)-</w:t>
            </w:r>
            <w:r>
              <w:rPr>
                <w:b/>
              </w:rPr>
              <w:t>55</w:t>
            </w:r>
            <w:r>
              <w:rPr>
                <w:b/>
                <w:lang w:val="ro-RO"/>
              </w:rPr>
              <w:t>-1</w:t>
            </w:r>
            <w:r>
              <w:rPr>
                <w:b/>
              </w:rPr>
              <w:t>-36, 55-2-36</w:t>
            </w:r>
          </w:p>
          <w:p w:rsidR="008D3208" w:rsidRDefault="008D3208" w:rsidP="007C69D2">
            <w:pPr>
              <w:suppressAutoHyphens/>
              <w:jc w:val="center"/>
              <w:rPr>
                <w:b/>
                <w:kern w:val="2"/>
                <w:lang w:val="ro-RO" w:eastAsia="zh-CN"/>
              </w:rPr>
            </w:pPr>
            <w:r>
              <w:rPr>
                <w:b/>
              </w:rPr>
              <w:t>К/</w:t>
            </w:r>
            <w:proofErr w:type="spellStart"/>
            <w:r>
              <w:rPr>
                <w:b/>
              </w:rPr>
              <w:t>ф</w:t>
            </w:r>
            <w:proofErr w:type="spellEnd"/>
            <w:r>
              <w:t xml:space="preserve"> </w:t>
            </w:r>
            <w:r>
              <w:rPr>
                <w:b/>
                <w:lang w:val="ro-RO"/>
              </w:rPr>
              <w:t xml:space="preserve"> 1007601001684  </w:t>
            </w:r>
          </w:p>
        </w:tc>
      </w:tr>
    </w:tbl>
    <w:p w:rsidR="008D3208" w:rsidRDefault="008D3208" w:rsidP="008D3208">
      <w:pPr>
        <w:rPr>
          <w:b/>
          <w:i/>
          <w:sz w:val="36"/>
          <w:szCs w:val="36"/>
          <w:lang w:val="ro-RO"/>
        </w:rPr>
      </w:pPr>
    </w:p>
    <w:p w:rsidR="008D3208" w:rsidRPr="00381E93" w:rsidRDefault="008D3208" w:rsidP="008D3208">
      <w:pPr>
        <w:rPr>
          <w:b/>
          <w:i/>
          <w:lang w:val="ro-RO"/>
        </w:rPr>
      </w:pPr>
      <w:r>
        <w:rPr>
          <w:b/>
          <w:i/>
          <w:sz w:val="36"/>
          <w:szCs w:val="36"/>
          <w:lang w:val="ro-RO"/>
        </w:rPr>
        <w:t xml:space="preserve">                      </w:t>
      </w:r>
      <w:r>
        <w:rPr>
          <w:b/>
          <w:sz w:val="44"/>
          <w:szCs w:val="44"/>
          <w:vertAlign w:val="superscript"/>
          <w:lang w:val="ro-RO"/>
        </w:rPr>
        <w:t>D E C I Z I E nr.02 /07</w:t>
      </w:r>
    </w:p>
    <w:p w:rsidR="008D3208" w:rsidRPr="00B61408" w:rsidRDefault="008D3208" w:rsidP="008D3208">
      <w:pPr>
        <w:rPr>
          <w:b/>
          <w:sz w:val="36"/>
          <w:szCs w:val="36"/>
          <w:vertAlign w:val="superscript"/>
          <w:lang w:val="ro-RO"/>
        </w:rPr>
      </w:pPr>
      <w:r>
        <w:rPr>
          <w:b/>
          <w:sz w:val="28"/>
          <w:szCs w:val="28"/>
          <w:lang w:val="ro-RO"/>
        </w:rPr>
        <w:tab/>
        <w:t xml:space="preserve">                            </w:t>
      </w:r>
      <w:r w:rsidRPr="00B61408">
        <w:rPr>
          <w:b/>
          <w:sz w:val="36"/>
          <w:szCs w:val="36"/>
          <w:vertAlign w:val="superscript"/>
          <w:lang w:val="ro-RO"/>
        </w:rPr>
        <w:t>din          .04.2019</w:t>
      </w:r>
    </w:p>
    <w:p w:rsidR="008D3208" w:rsidRDefault="008D3208" w:rsidP="008D3208">
      <w:pPr>
        <w:tabs>
          <w:tab w:val="left" w:pos="2552"/>
        </w:tabs>
        <w:rPr>
          <w:b/>
          <w:sz w:val="28"/>
          <w:szCs w:val="28"/>
          <w:lang w:val="ro-RO"/>
        </w:rPr>
      </w:pPr>
    </w:p>
    <w:p w:rsidR="008D3208" w:rsidRPr="00B61408" w:rsidRDefault="008D3208" w:rsidP="008D3208">
      <w:pPr>
        <w:rPr>
          <w:b/>
          <w:sz w:val="28"/>
          <w:szCs w:val="28"/>
          <w:vertAlign w:val="superscript"/>
          <w:lang w:val="ro-RO"/>
        </w:rPr>
      </w:pPr>
      <w:r w:rsidRPr="00B61408">
        <w:rPr>
          <w:b/>
          <w:sz w:val="28"/>
          <w:szCs w:val="28"/>
          <w:lang w:val="ro-RO"/>
        </w:rPr>
        <w:t>Cu</w:t>
      </w:r>
      <w:r w:rsidRPr="00B61408">
        <w:rPr>
          <w:b/>
          <w:i/>
          <w:sz w:val="28"/>
          <w:szCs w:val="28"/>
          <w:lang w:val="ro-RO"/>
        </w:rPr>
        <w:t xml:space="preserve"> privire la  stabilirea </w:t>
      </w:r>
      <w:r>
        <w:rPr>
          <w:b/>
          <w:sz w:val="28"/>
          <w:szCs w:val="28"/>
          <w:vertAlign w:val="superscript"/>
          <w:lang w:val="ro-RO"/>
        </w:rPr>
        <w:t xml:space="preserve">                      </w:t>
      </w:r>
    </w:p>
    <w:p w:rsidR="008D3208" w:rsidRPr="00381E93" w:rsidRDefault="008D3208" w:rsidP="008D3208">
      <w:pPr>
        <w:outlineLvl w:val="0"/>
        <w:rPr>
          <w:b/>
          <w:i/>
          <w:lang w:val="ro-RO"/>
        </w:rPr>
      </w:pPr>
      <w:r w:rsidRPr="00B61408">
        <w:rPr>
          <w:b/>
          <w:i/>
          <w:sz w:val="28"/>
          <w:szCs w:val="28"/>
          <w:lang w:val="ro-RO"/>
        </w:rPr>
        <w:t xml:space="preserve"> perioadei de pășun</w:t>
      </w:r>
      <w:r w:rsidRPr="00381E93">
        <w:rPr>
          <w:b/>
          <w:i/>
          <w:lang w:val="ro-RO"/>
        </w:rPr>
        <w:t>at.</w:t>
      </w:r>
    </w:p>
    <w:p w:rsidR="008D3208" w:rsidRPr="00381E93" w:rsidRDefault="008D3208" w:rsidP="008D3208">
      <w:pPr>
        <w:rPr>
          <w:lang w:val="ro-RO"/>
        </w:rPr>
      </w:pPr>
    </w:p>
    <w:p w:rsidR="008D3208" w:rsidRDefault="008D3208" w:rsidP="008D3208">
      <w:pPr>
        <w:tabs>
          <w:tab w:val="left" w:pos="285"/>
        </w:tabs>
        <w:jc w:val="both"/>
        <w:outlineLvl w:val="0"/>
        <w:rPr>
          <w:i/>
          <w:sz w:val="28"/>
          <w:szCs w:val="28"/>
          <w:lang w:val="en-US"/>
        </w:rPr>
      </w:pPr>
      <w:r w:rsidRPr="00381E93">
        <w:rPr>
          <w:i/>
          <w:sz w:val="28"/>
          <w:szCs w:val="28"/>
          <w:lang w:val="en-US"/>
        </w:rPr>
        <w:tab/>
      </w:r>
      <w:proofErr w:type="spellStart"/>
      <w:r w:rsidRPr="00381E93">
        <w:rPr>
          <w:sz w:val="28"/>
          <w:szCs w:val="28"/>
          <w:lang w:val="en-US"/>
        </w:rPr>
        <w:t>În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temeiul</w:t>
      </w:r>
      <w:proofErr w:type="spellEnd"/>
      <w:r w:rsidRPr="00381E93">
        <w:rPr>
          <w:sz w:val="28"/>
          <w:szCs w:val="28"/>
          <w:lang w:val="ro-RO"/>
        </w:rPr>
        <w:t xml:space="preserve"> art.14, al.2  lit (r), al Legii  privind administraţia publică locală nr.436-XVI din 28.12.2006,</w:t>
      </w:r>
      <w:r w:rsidRPr="00381E93">
        <w:rPr>
          <w:i/>
          <w:sz w:val="28"/>
          <w:szCs w:val="28"/>
          <w:lang w:val="en-US"/>
        </w:rPr>
        <w:t xml:space="preserve"> art.9 </w:t>
      </w:r>
      <w:r w:rsidRPr="00381E93">
        <w:rPr>
          <w:sz w:val="28"/>
          <w:szCs w:val="28"/>
          <w:lang w:val="en-US"/>
        </w:rPr>
        <w:t xml:space="preserve">al </w:t>
      </w:r>
      <w:proofErr w:type="spellStart"/>
      <w:r w:rsidRPr="00381E93">
        <w:rPr>
          <w:sz w:val="28"/>
          <w:szCs w:val="28"/>
          <w:lang w:val="en-US"/>
        </w:rPr>
        <w:t>Legii</w:t>
      </w:r>
      <w:proofErr w:type="spellEnd"/>
      <w:r w:rsidRPr="00381E93">
        <w:rPr>
          <w:sz w:val="28"/>
          <w:szCs w:val="28"/>
          <w:lang w:val="en-US"/>
        </w:rPr>
        <w:t xml:space="preserve"> nr.239 din 08.11.2007  </w:t>
      </w:r>
      <w:proofErr w:type="spellStart"/>
      <w:r w:rsidRPr="00381E93">
        <w:rPr>
          <w:sz w:val="28"/>
          <w:szCs w:val="28"/>
          <w:lang w:val="en-US"/>
        </w:rPr>
        <w:t>privind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Regnul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vegetal,pct</w:t>
      </w:r>
      <w:proofErr w:type="spellEnd"/>
      <w:r w:rsidRPr="00381E93">
        <w:rPr>
          <w:sz w:val="28"/>
          <w:szCs w:val="28"/>
          <w:lang w:val="en-US"/>
        </w:rPr>
        <w:t xml:space="preserve">.(6),(8),(9) din </w:t>
      </w:r>
      <w:proofErr w:type="spellStart"/>
      <w:r w:rsidRPr="00381E93">
        <w:rPr>
          <w:sz w:val="28"/>
          <w:szCs w:val="28"/>
          <w:lang w:val="en-US"/>
        </w:rPr>
        <w:t>Regulamentul</w:t>
      </w:r>
      <w:proofErr w:type="spellEnd"/>
      <w:r w:rsidRPr="00381E93">
        <w:rPr>
          <w:sz w:val="28"/>
          <w:szCs w:val="28"/>
          <w:lang w:val="en-US"/>
        </w:rPr>
        <w:t xml:space="preserve"> cu </w:t>
      </w:r>
      <w:proofErr w:type="spellStart"/>
      <w:r w:rsidRPr="00381E93">
        <w:rPr>
          <w:sz w:val="28"/>
          <w:szCs w:val="28"/>
          <w:lang w:val="en-US"/>
        </w:rPr>
        <w:t>privire</w:t>
      </w:r>
      <w:proofErr w:type="spellEnd"/>
      <w:r w:rsidRPr="00381E93">
        <w:rPr>
          <w:sz w:val="28"/>
          <w:szCs w:val="28"/>
          <w:lang w:val="en-US"/>
        </w:rPr>
        <w:t xml:space="preserve"> la </w:t>
      </w:r>
      <w:proofErr w:type="spellStart"/>
      <w:r w:rsidRPr="00381E93">
        <w:rPr>
          <w:sz w:val="28"/>
          <w:szCs w:val="28"/>
          <w:lang w:val="en-US"/>
        </w:rPr>
        <w:t>pășunat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și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cosit,aprobat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prin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Hotărărea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guvernului</w:t>
      </w:r>
      <w:proofErr w:type="spellEnd"/>
      <w:r w:rsidRPr="00381E93">
        <w:rPr>
          <w:sz w:val="28"/>
          <w:szCs w:val="28"/>
          <w:lang w:val="en-US"/>
        </w:rPr>
        <w:t xml:space="preserve"> nr. 667 din 23.07.2010, </w:t>
      </w:r>
      <w:proofErr w:type="spellStart"/>
      <w:r w:rsidRPr="00381E93">
        <w:rPr>
          <w:sz w:val="28"/>
          <w:szCs w:val="28"/>
          <w:lang w:val="en-US"/>
        </w:rPr>
        <w:t>avizul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pozitiv</w:t>
      </w:r>
      <w:proofErr w:type="spellEnd"/>
      <w:r w:rsidRPr="00381E93">
        <w:rPr>
          <w:sz w:val="28"/>
          <w:szCs w:val="28"/>
          <w:lang w:val="en-US"/>
        </w:rPr>
        <w:t xml:space="preserve"> al </w:t>
      </w:r>
      <w:proofErr w:type="spellStart"/>
      <w:r w:rsidRPr="00381E93">
        <w:rPr>
          <w:sz w:val="28"/>
          <w:szCs w:val="28"/>
          <w:lang w:val="en-US"/>
        </w:rPr>
        <w:t>comisiei</w:t>
      </w:r>
      <w:proofErr w:type="spellEnd"/>
      <w:r w:rsidRPr="00381E93">
        <w:rPr>
          <w:sz w:val="28"/>
          <w:szCs w:val="28"/>
          <w:lang w:val="en-US"/>
        </w:rPr>
        <w:t xml:space="preserve"> consultative de </w:t>
      </w:r>
      <w:proofErr w:type="spellStart"/>
      <w:proofErr w:type="gramStart"/>
      <w:r w:rsidRPr="00381E93">
        <w:rPr>
          <w:sz w:val="28"/>
          <w:szCs w:val="28"/>
          <w:lang w:val="en-US"/>
        </w:rPr>
        <w:t>specialitate</w:t>
      </w:r>
      <w:proofErr w:type="spellEnd"/>
      <w:r w:rsidRPr="00381E93">
        <w:rPr>
          <w:sz w:val="28"/>
          <w:szCs w:val="28"/>
          <w:lang w:val="en-US"/>
        </w:rPr>
        <w:t xml:space="preserve"> ,</w:t>
      </w:r>
      <w:proofErr w:type="spellStart"/>
      <w:r w:rsidRPr="00381E93">
        <w:rPr>
          <w:sz w:val="28"/>
          <w:szCs w:val="28"/>
          <w:lang w:val="en-US"/>
        </w:rPr>
        <w:t>Consiliul</w:t>
      </w:r>
      <w:proofErr w:type="spellEnd"/>
      <w:proofErr w:type="gramEnd"/>
      <w:r w:rsidRPr="00381E9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</w:t>
      </w:r>
      <w:r w:rsidRPr="00381E93">
        <w:rPr>
          <w:sz w:val="28"/>
          <w:szCs w:val="28"/>
          <w:lang w:val="en-US"/>
        </w:rPr>
        <w:t>munal</w:t>
      </w:r>
      <w:proofErr w:type="spellEnd"/>
      <w:r w:rsidRPr="00381E93">
        <w:rPr>
          <w:sz w:val="28"/>
          <w:szCs w:val="28"/>
          <w:lang w:val="en-US"/>
        </w:rPr>
        <w:t xml:space="preserve"> </w:t>
      </w:r>
      <w:proofErr w:type="spellStart"/>
      <w:r w:rsidRPr="00381E93">
        <w:rPr>
          <w:sz w:val="28"/>
          <w:szCs w:val="28"/>
          <w:lang w:val="en-US"/>
        </w:rPr>
        <w:t>Jora</w:t>
      </w:r>
      <w:proofErr w:type="spellEnd"/>
      <w:r w:rsidRPr="00381E93">
        <w:rPr>
          <w:sz w:val="28"/>
          <w:szCs w:val="28"/>
          <w:lang w:val="en-US"/>
        </w:rPr>
        <w:t xml:space="preserve"> de </w:t>
      </w:r>
      <w:proofErr w:type="spellStart"/>
      <w:r w:rsidRPr="00381E93">
        <w:rPr>
          <w:sz w:val="28"/>
          <w:szCs w:val="28"/>
          <w:lang w:val="en-US"/>
        </w:rPr>
        <w:t>Mijloc</w:t>
      </w:r>
      <w:proofErr w:type="spellEnd"/>
      <w:r w:rsidRPr="00381E93">
        <w:rPr>
          <w:i/>
          <w:sz w:val="28"/>
          <w:szCs w:val="28"/>
          <w:lang w:val="en-US"/>
        </w:rPr>
        <w:t xml:space="preserve">     </w:t>
      </w:r>
    </w:p>
    <w:p w:rsidR="008D3208" w:rsidRPr="00381E93" w:rsidRDefault="008D3208" w:rsidP="008D3208">
      <w:pPr>
        <w:tabs>
          <w:tab w:val="left" w:pos="285"/>
        </w:tabs>
        <w:jc w:val="both"/>
        <w:outlineLvl w:val="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                                          </w:t>
      </w:r>
      <w:r w:rsidRPr="00381E93">
        <w:rPr>
          <w:i/>
          <w:sz w:val="28"/>
          <w:szCs w:val="28"/>
          <w:lang w:val="en-US"/>
        </w:rPr>
        <w:t>D E C I D E:</w:t>
      </w:r>
    </w:p>
    <w:p w:rsidR="008D3208" w:rsidRPr="00381E93" w:rsidRDefault="008D3208" w:rsidP="008D3208">
      <w:pPr>
        <w:jc w:val="both"/>
        <w:outlineLvl w:val="0"/>
        <w:rPr>
          <w:b/>
          <w:i/>
          <w:lang w:val="en-US"/>
        </w:rPr>
      </w:pPr>
    </w:p>
    <w:p w:rsidR="008D3208" w:rsidRPr="002E25BF" w:rsidRDefault="008D3208" w:rsidP="008D3208">
      <w:pPr>
        <w:tabs>
          <w:tab w:val="left" w:pos="200"/>
        </w:tabs>
        <w:jc w:val="both"/>
        <w:outlineLvl w:val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</w:t>
      </w:r>
      <w:r w:rsidRPr="002E25BF">
        <w:rPr>
          <w:sz w:val="28"/>
          <w:szCs w:val="28"/>
          <w:lang w:val="en-US"/>
        </w:rPr>
        <w:t>Se</w:t>
      </w:r>
      <w:proofErr w:type="gram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stabilește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perioada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pășunatului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animalelor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începînd</w:t>
      </w:r>
      <w:proofErr w:type="spellEnd"/>
      <w:r>
        <w:rPr>
          <w:sz w:val="28"/>
          <w:szCs w:val="28"/>
          <w:lang w:val="en-US"/>
        </w:rPr>
        <w:t xml:space="preserve"> </w:t>
      </w:r>
      <w:r w:rsidRPr="002E25BF">
        <w:rPr>
          <w:sz w:val="28"/>
          <w:szCs w:val="28"/>
          <w:lang w:val="en-US"/>
        </w:rPr>
        <w:t>cu</w:t>
      </w:r>
      <w:r>
        <w:rPr>
          <w:sz w:val="28"/>
          <w:szCs w:val="28"/>
          <w:lang w:val="en-US"/>
        </w:rPr>
        <w:t xml:space="preserve"> data de </w:t>
      </w:r>
      <w:r w:rsidRPr="002E25BF">
        <w:rPr>
          <w:sz w:val="28"/>
          <w:szCs w:val="28"/>
          <w:lang w:val="en-US"/>
        </w:rPr>
        <w:t xml:space="preserve"> 25 </w:t>
      </w:r>
      <w:proofErr w:type="spellStart"/>
      <w:r w:rsidRPr="002E25BF">
        <w:rPr>
          <w:sz w:val="28"/>
          <w:szCs w:val="28"/>
          <w:lang w:val="en-US"/>
        </w:rPr>
        <w:t>aprilie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pînă</w:t>
      </w:r>
      <w:proofErr w:type="spellEnd"/>
      <w:r w:rsidRPr="002E25BF">
        <w:rPr>
          <w:sz w:val="28"/>
          <w:szCs w:val="28"/>
          <w:lang w:val="en-US"/>
        </w:rPr>
        <w:t xml:space="preserve"> la 10 </w:t>
      </w:r>
      <w:proofErr w:type="spellStart"/>
      <w:r w:rsidRPr="002E25BF">
        <w:rPr>
          <w:sz w:val="28"/>
          <w:szCs w:val="28"/>
          <w:lang w:val="en-US"/>
        </w:rPr>
        <w:t>noiembrie</w:t>
      </w:r>
      <w:proofErr w:type="spellEnd"/>
      <w:r w:rsidRPr="002E25BF">
        <w:rPr>
          <w:sz w:val="28"/>
          <w:szCs w:val="28"/>
          <w:lang w:val="en-US"/>
        </w:rPr>
        <w:t xml:space="preserve"> 2019.</w:t>
      </w:r>
    </w:p>
    <w:p w:rsidR="008D3208" w:rsidRPr="002E25BF" w:rsidRDefault="008D3208" w:rsidP="008D3208">
      <w:pPr>
        <w:tabs>
          <w:tab w:val="left" w:pos="1212"/>
        </w:tabs>
        <w:jc w:val="both"/>
        <w:outlineLvl w:val="0"/>
        <w:rPr>
          <w:sz w:val="28"/>
          <w:szCs w:val="28"/>
          <w:lang w:val="en-US"/>
        </w:rPr>
      </w:pPr>
      <w:proofErr w:type="gramStart"/>
      <w:r w:rsidRPr="002E25BF">
        <w:rPr>
          <w:sz w:val="28"/>
          <w:szCs w:val="28"/>
          <w:lang w:val="en-US"/>
        </w:rPr>
        <w:t>2.Se</w:t>
      </w:r>
      <w:proofErr w:type="gram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interzice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pășunatul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animalelor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înafara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perioadei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stabilite</w:t>
      </w:r>
      <w:proofErr w:type="spellEnd"/>
      <w:r w:rsidRPr="002E25BF">
        <w:rPr>
          <w:sz w:val="28"/>
          <w:szCs w:val="28"/>
          <w:lang w:val="en-US"/>
        </w:rPr>
        <w:t>.</w:t>
      </w:r>
    </w:p>
    <w:p w:rsidR="008D3208" w:rsidRPr="002E25BF" w:rsidRDefault="008D3208" w:rsidP="008D3208">
      <w:pPr>
        <w:tabs>
          <w:tab w:val="left" w:pos="1212"/>
        </w:tabs>
        <w:jc w:val="both"/>
        <w:outlineLvl w:val="0"/>
        <w:rPr>
          <w:sz w:val="28"/>
          <w:szCs w:val="28"/>
          <w:lang w:val="en-US"/>
        </w:rPr>
      </w:pPr>
      <w:r w:rsidRPr="002E25BF">
        <w:rPr>
          <w:sz w:val="28"/>
          <w:szCs w:val="28"/>
          <w:lang w:val="en-US"/>
        </w:rPr>
        <w:lastRenderedPageBreak/>
        <w:t xml:space="preserve">3. Se </w:t>
      </w:r>
      <w:proofErr w:type="spellStart"/>
      <w:r w:rsidRPr="002E25BF">
        <w:rPr>
          <w:sz w:val="28"/>
          <w:szCs w:val="28"/>
          <w:lang w:val="en-US"/>
        </w:rPr>
        <w:t>preîntîmpină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toț</w:t>
      </w:r>
      <w:proofErr w:type="gramStart"/>
      <w:r w:rsidRPr="002E25BF">
        <w:rPr>
          <w:sz w:val="28"/>
          <w:szCs w:val="28"/>
          <w:lang w:val="en-US"/>
        </w:rPr>
        <w:t>i</w:t>
      </w:r>
      <w:proofErr w:type="spellEnd"/>
      <w:r w:rsidRPr="002E25BF">
        <w:rPr>
          <w:sz w:val="28"/>
          <w:szCs w:val="28"/>
          <w:lang w:val="en-US"/>
        </w:rPr>
        <w:t xml:space="preserve">  </w:t>
      </w:r>
      <w:proofErr w:type="spellStart"/>
      <w:r w:rsidRPr="002E25BF">
        <w:rPr>
          <w:sz w:val="28"/>
          <w:szCs w:val="28"/>
          <w:lang w:val="en-US"/>
        </w:rPr>
        <w:t>de</w:t>
      </w:r>
      <w:proofErr w:type="gramEnd"/>
      <w:r w:rsidRPr="002E25BF">
        <w:rPr>
          <w:sz w:val="28"/>
          <w:szCs w:val="28"/>
          <w:lang w:val="en-US"/>
        </w:rPr>
        <w:t>ținătorii</w:t>
      </w:r>
      <w:proofErr w:type="spellEnd"/>
      <w:r w:rsidRPr="002E25BF">
        <w:rPr>
          <w:sz w:val="28"/>
          <w:szCs w:val="28"/>
          <w:lang w:val="en-US"/>
        </w:rPr>
        <w:t xml:space="preserve"> de </w:t>
      </w:r>
      <w:proofErr w:type="spellStart"/>
      <w:r w:rsidRPr="002E25BF">
        <w:rPr>
          <w:sz w:val="28"/>
          <w:szCs w:val="28"/>
          <w:lang w:val="en-US"/>
        </w:rPr>
        <w:t>animale</w:t>
      </w:r>
      <w:proofErr w:type="spellEnd"/>
      <w:r w:rsidRPr="002E25BF">
        <w:rPr>
          <w:sz w:val="28"/>
          <w:szCs w:val="28"/>
          <w:lang w:val="en-US"/>
        </w:rPr>
        <w:t xml:space="preserve">  din </w:t>
      </w:r>
      <w:proofErr w:type="spellStart"/>
      <w:r w:rsidRPr="002E25BF">
        <w:rPr>
          <w:sz w:val="28"/>
          <w:szCs w:val="28"/>
          <w:lang w:val="en-US"/>
        </w:rPr>
        <w:t>comuna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Jora</w:t>
      </w:r>
      <w:proofErr w:type="spellEnd"/>
      <w:r w:rsidRPr="002E25BF">
        <w:rPr>
          <w:sz w:val="28"/>
          <w:szCs w:val="28"/>
          <w:lang w:val="en-US"/>
        </w:rPr>
        <w:t xml:space="preserve"> de </w:t>
      </w:r>
      <w:proofErr w:type="spellStart"/>
      <w:r w:rsidRPr="002E25BF">
        <w:rPr>
          <w:sz w:val="28"/>
          <w:szCs w:val="28"/>
          <w:lang w:val="en-US"/>
        </w:rPr>
        <w:t>Mijloc</w:t>
      </w:r>
      <w:proofErr w:type="spellEnd"/>
      <w:r w:rsidRPr="002E25BF"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respecte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aciastă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cancționați</w:t>
      </w:r>
      <w:proofErr w:type="spellEnd"/>
      <w:r w:rsidRPr="002E25BF">
        <w:rPr>
          <w:sz w:val="28"/>
          <w:szCs w:val="28"/>
          <w:lang w:val="en-US"/>
        </w:rPr>
        <w:t xml:space="preserve"> conform </w:t>
      </w:r>
      <w:proofErr w:type="spellStart"/>
      <w:r w:rsidRPr="002E25BF">
        <w:rPr>
          <w:sz w:val="28"/>
          <w:szCs w:val="28"/>
          <w:lang w:val="en-US"/>
        </w:rPr>
        <w:t>codului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contravențional</w:t>
      </w:r>
      <w:proofErr w:type="spellEnd"/>
      <w:r w:rsidRPr="002E25BF">
        <w:rPr>
          <w:sz w:val="28"/>
          <w:szCs w:val="28"/>
          <w:lang w:val="en-US"/>
        </w:rPr>
        <w:t>.</w:t>
      </w:r>
    </w:p>
    <w:p w:rsidR="008D3208" w:rsidRPr="002E25BF" w:rsidRDefault="008D3208" w:rsidP="008D3208">
      <w:pPr>
        <w:tabs>
          <w:tab w:val="left" w:pos="200"/>
        </w:tabs>
        <w:jc w:val="both"/>
        <w:outlineLvl w:val="0"/>
        <w:rPr>
          <w:sz w:val="28"/>
          <w:szCs w:val="28"/>
          <w:lang w:val="en-US"/>
        </w:rPr>
      </w:pPr>
      <w:proofErr w:type="gramStart"/>
      <w:r w:rsidRPr="002E25BF">
        <w:rPr>
          <w:sz w:val="28"/>
          <w:szCs w:val="28"/>
          <w:lang w:val="en-US"/>
        </w:rPr>
        <w:t>4.Se</w:t>
      </w:r>
      <w:proofErr w:type="gram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înterzice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pășunatul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în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cireadă</w:t>
      </w:r>
      <w:proofErr w:type="spellEnd"/>
      <w:r w:rsidRPr="002E25BF">
        <w:rPr>
          <w:sz w:val="28"/>
          <w:szCs w:val="28"/>
          <w:lang w:val="en-US"/>
        </w:rPr>
        <w:t xml:space="preserve"> a </w:t>
      </w:r>
      <w:proofErr w:type="spellStart"/>
      <w:r w:rsidRPr="002E25BF">
        <w:rPr>
          <w:sz w:val="28"/>
          <w:szCs w:val="28"/>
          <w:lang w:val="en-US"/>
        </w:rPr>
        <w:t>taurilor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împreună</w:t>
      </w:r>
      <w:proofErr w:type="spellEnd"/>
      <w:r w:rsidRPr="002E25BF">
        <w:rPr>
          <w:sz w:val="28"/>
          <w:szCs w:val="28"/>
          <w:lang w:val="en-US"/>
        </w:rPr>
        <w:t xml:space="preserve"> cu </w:t>
      </w:r>
      <w:proofErr w:type="spellStart"/>
      <w:r w:rsidRPr="002E25BF">
        <w:rPr>
          <w:sz w:val="28"/>
          <w:szCs w:val="28"/>
          <w:lang w:val="en-US"/>
        </w:rPr>
        <w:t>vacile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și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vițelele</w:t>
      </w:r>
      <w:proofErr w:type="spellEnd"/>
      <w:r w:rsidRPr="002E25BF">
        <w:rPr>
          <w:sz w:val="28"/>
          <w:szCs w:val="28"/>
          <w:lang w:val="en-US"/>
        </w:rPr>
        <w:t xml:space="preserve">, </w:t>
      </w:r>
      <w:proofErr w:type="spellStart"/>
      <w:r w:rsidRPr="002E25BF">
        <w:rPr>
          <w:sz w:val="28"/>
          <w:szCs w:val="28"/>
          <w:lang w:val="en-US"/>
        </w:rPr>
        <w:t>cît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și</w:t>
      </w:r>
      <w:proofErr w:type="spellEnd"/>
      <w:r w:rsidRPr="002E25BF">
        <w:rPr>
          <w:sz w:val="28"/>
          <w:szCs w:val="28"/>
          <w:lang w:val="en-US"/>
        </w:rPr>
        <w:t xml:space="preserve"> a </w:t>
      </w:r>
      <w:proofErr w:type="spellStart"/>
      <w:r w:rsidRPr="002E25BF">
        <w:rPr>
          <w:sz w:val="28"/>
          <w:szCs w:val="28"/>
          <w:lang w:val="en-US"/>
        </w:rPr>
        <w:t>animalelor</w:t>
      </w:r>
      <w:proofErr w:type="spellEnd"/>
      <w:r w:rsidRPr="002E25BF">
        <w:rPr>
          <w:sz w:val="28"/>
          <w:szCs w:val="28"/>
          <w:lang w:val="en-US"/>
        </w:rPr>
        <w:t xml:space="preserve"> </w:t>
      </w:r>
      <w:proofErr w:type="spellStart"/>
      <w:r w:rsidRPr="002E25BF">
        <w:rPr>
          <w:sz w:val="28"/>
          <w:szCs w:val="28"/>
          <w:lang w:val="en-US"/>
        </w:rPr>
        <w:t>bolnave</w:t>
      </w:r>
      <w:proofErr w:type="spellEnd"/>
      <w:r w:rsidRPr="002E25BF">
        <w:rPr>
          <w:sz w:val="28"/>
          <w:szCs w:val="28"/>
          <w:lang w:val="en-US"/>
        </w:rPr>
        <w:t>.</w:t>
      </w:r>
    </w:p>
    <w:p w:rsidR="008D3208" w:rsidRDefault="008D3208" w:rsidP="008D3208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6.Controlul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revine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>.</w:t>
      </w:r>
    </w:p>
    <w:p w:rsidR="008D3208" w:rsidRDefault="008D3208" w:rsidP="008D320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</w:p>
    <w:p w:rsidR="008D3208" w:rsidRDefault="008D3208" w:rsidP="008D3208">
      <w:pPr>
        <w:tabs>
          <w:tab w:val="left" w:pos="984"/>
        </w:tabs>
        <w:jc w:val="both"/>
        <w:outlineLvl w:val="0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ab/>
      </w:r>
    </w:p>
    <w:p w:rsidR="008D3208" w:rsidRDefault="008D3208" w:rsidP="008D3208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Președintele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ședinței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8D3208" w:rsidRDefault="008D3208" w:rsidP="008D3208">
      <w:pPr>
        <w:tabs>
          <w:tab w:val="left" w:pos="5244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ab/>
        <w:t xml:space="preserve">                                            </w:t>
      </w:r>
      <w:proofErr w:type="spellStart"/>
      <w:r>
        <w:rPr>
          <w:sz w:val="28"/>
          <w:szCs w:val="28"/>
          <w:lang w:val="en-US"/>
        </w:rPr>
        <w:t>P.Pantaz</w:t>
      </w:r>
      <w:proofErr w:type="spellEnd"/>
    </w:p>
    <w:p w:rsidR="008D3208" w:rsidRDefault="008D3208" w:rsidP="008D3208">
      <w:pPr>
        <w:tabs>
          <w:tab w:val="left" w:pos="713"/>
        </w:tabs>
        <w:outlineLvl w:val="0"/>
        <w:rPr>
          <w:b/>
          <w:i/>
          <w:sz w:val="36"/>
          <w:szCs w:val="36"/>
          <w:lang w:val="en-US"/>
        </w:rPr>
      </w:pPr>
    </w:p>
    <w:p w:rsidR="008D3208" w:rsidRDefault="008D3208" w:rsidP="008D3208">
      <w:pPr>
        <w:jc w:val="center"/>
        <w:outlineLvl w:val="0"/>
        <w:rPr>
          <w:b/>
          <w:i/>
          <w:sz w:val="36"/>
          <w:szCs w:val="36"/>
          <w:lang w:val="en-US"/>
        </w:rPr>
      </w:pPr>
    </w:p>
    <w:p w:rsidR="008D3208" w:rsidRDefault="008D3208" w:rsidP="008D3208">
      <w:pPr>
        <w:jc w:val="center"/>
        <w:outlineLvl w:val="0"/>
        <w:rPr>
          <w:b/>
          <w:i/>
          <w:sz w:val="36"/>
          <w:szCs w:val="36"/>
          <w:lang w:val="en-US"/>
        </w:rPr>
      </w:pPr>
    </w:p>
    <w:p w:rsidR="008D3208" w:rsidRDefault="008D3208" w:rsidP="008D3208">
      <w:pPr>
        <w:jc w:val="center"/>
        <w:outlineLvl w:val="0"/>
        <w:rPr>
          <w:b/>
          <w:i/>
          <w:sz w:val="36"/>
          <w:szCs w:val="36"/>
          <w:lang w:val="en-US"/>
        </w:rPr>
      </w:pPr>
    </w:p>
    <w:p w:rsidR="008D3208" w:rsidRDefault="008D3208" w:rsidP="008D3208">
      <w:pPr>
        <w:jc w:val="center"/>
        <w:outlineLvl w:val="0"/>
        <w:rPr>
          <w:b/>
          <w:i/>
          <w:sz w:val="36"/>
          <w:szCs w:val="36"/>
          <w:lang w:val="en-US"/>
        </w:rPr>
      </w:pPr>
    </w:p>
    <w:p w:rsidR="00CA7D76" w:rsidRPr="008D3208" w:rsidRDefault="00CA7D76">
      <w:pPr>
        <w:rPr>
          <w:lang w:val="en-US"/>
        </w:rPr>
      </w:pPr>
    </w:p>
    <w:sectPr w:rsidR="00CA7D76" w:rsidRPr="008D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D3208"/>
    <w:rsid w:val="008D3208"/>
    <w:rsid w:val="00CA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2019-04-03T13:24:00Z</dcterms:created>
  <dcterms:modified xsi:type="dcterms:W3CDTF">2019-04-03T13:24:00Z</dcterms:modified>
</cp:coreProperties>
</file>