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0" w:type="dxa"/>
        <w:tblLayout w:type="fixed"/>
        <w:tblLook w:val="04A0"/>
      </w:tblPr>
      <w:tblGrid>
        <w:gridCol w:w="3725"/>
        <w:gridCol w:w="2243"/>
        <w:gridCol w:w="3712"/>
      </w:tblGrid>
      <w:tr w:rsidR="00971716" w:rsidTr="007C69D2">
        <w:trPr>
          <w:trHeight w:val="2484"/>
        </w:trPr>
        <w:tc>
          <w:tcPr>
            <w:tcW w:w="3725" w:type="dxa"/>
            <w:tcBorders>
              <w:top w:val="nil"/>
              <w:left w:val="nil"/>
              <w:bottom w:val="single" w:sz="18" w:space="0" w:color="000000"/>
              <w:right w:val="nil"/>
            </w:tcBorders>
            <w:hideMark/>
          </w:tcPr>
          <w:p w:rsidR="00971716" w:rsidRPr="00FB3B20" w:rsidRDefault="00971716" w:rsidP="007C69D2">
            <w:pPr>
              <w:snapToGrid w:val="0"/>
              <w:jc w:val="both"/>
              <w:rPr>
                <w:shadow/>
                <w:color w:val="FF0000"/>
                <w:kern w:val="2"/>
                <w:lang w:val="en-GB" w:eastAsia="zh-CN"/>
              </w:rPr>
            </w:pPr>
            <w:r w:rsidRPr="00FB3B20">
              <w:rPr>
                <w:shadow/>
                <w:color w:val="FF0000"/>
                <w:kern w:val="2"/>
                <w:lang w:val="en-GB" w:eastAsia="zh-CN"/>
              </w:rPr>
              <w:ptab w:relativeTo="margin" w:alignment="center" w:leader="none"/>
            </w:r>
          </w:p>
          <w:p w:rsidR="00971716" w:rsidRPr="006D0E39" w:rsidRDefault="00971716" w:rsidP="007C69D2">
            <w:pPr>
              <w:jc w:val="center"/>
              <w:rPr>
                <w:b/>
                <w:shadow/>
                <w:lang w:val="en-US"/>
              </w:rPr>
            </w:pPr>
            <w:r w:rsidRPr="006D0E39">
              <w:rPr>
                <w:b/>
                <w:shadow/>
                <w:lang w:val="en-US"/>
              </w:rPr>
              <w:t>REPUBLICA MOLDOVA</w:t>
            </w:r>
          </w:p>
          <w:p w:rsidR="00971716" w:rsidRPr="006D0E39" w:rsidRDefault="00971716" w:rsidP="007C69D2">
            <w:pPr>
              <w:jc w:val="center"/>
              <w:rPr>
                <w:b/>
                <w:shadow/>
                <w:lang w:val="ro-RO"/>
              </w:rPr>
            </w:pPr>
            <w:r w:rsidRPr="006D0E39">
              <w:rPr>
                <w:b/>
                <w:shadow/>
                <w:lang w:val="ro-RO"/>
              </w:rPr>
              <w:t>RAIONUL ORHEI</w:t>
            </w:r>
          </w:p>
          <w:p w:rsidR="00971716" w:rsidRPr="006D0E39" w:rsidRDefault="00971716" w:rsidP="007C69D2">
            <w:pPr>
              <w:jc w:val="center"/>
              <w:rPr>
                <w:b/>
                <w:lang w:val="en-US"/>
              </w:rPr>
            </w:pPr>
            <w:r w:rsidRPr="006D0E39">
              <w:rPr>
                <w:b/>
                <w:lang w:val="en-US"/>
              </w:rPr>
              <w:t>PRIMĂRIA COMUNEI</w:t>
            </w:r>
          </w:p>
          <w:p w:rsidR="00971716" w:rsidRPr="006D0E39" w:rsidRDefault="00971716" w:rsidP="007C69D2">
            <w:pPr>
              <w:jc w:val="center"/>
              <w:rPr>
                <w:b/>
                <w:lang w:val="fr-FR"/>
              </w:rPr>
            </w:pPr>
            <w:r w:rsidRPr="006D0E39">
              <w:rPr>
                <w:b/>
                <w:lang w:val="fr-FR"/>
              </w:rPr>
              <w:t>JORA DE MIJLOC</w:t>
            </w:r>
          </w:p>
          <w:p w:rsidR="00971716" w:rsidRPr="006D0E39" w:rsidRDefault="00971716" w:rsidP="007C69D2">
            <w:pPr>
              <w:jc w:val="center"/>
              <w:rPr>
                <w:b/>
                <w:lang w:val="ro-RO"/>
              </w:rPr>
            </w:pPr>
            <w:r w:rsidRPr="006D0E39">
              <w:rPr>
                <w:b/>
                <w:lang w:val="ro-RO"/>
              </w:rPr>
              <w:t>MD 3534 com. Jora de Mijloc</w:t>
            </w:r>
          </w:p>
          <w:p w:rsidR="00971716" w:rsidRPr="006D0E39" w:rsidRDefault="00971716" w:rsidP="007C69D2">
            <w:pPr>
              <w:jc w:val="center"/>
              <w:rPr>
                <w:b/>
                <w:lang w:val="ro-RO"/>
              </w:rPr>
            </w:pPr>
            <w:r w:rsidRPr="006D0E39">
              <w:rPr>
                <w:b/>
                <w:lang w:val="ro-RO"/>
              </w:rPr>
              <w:t>Tel. (235)-55-1-36, 55-2-36</w:t>
            </w:r>
          </w:p>
          <w:p w:rsidR="00971716" w:rsidRPr="00FB3B20" w:rsidRDefault="00971716" w:rsidP="007C69D2">
            <w:pPr>
              <w:suppressAutoHyphens/>
              <w:rPr>
                <w:color w:val="FF0000"/>
                <w:kern w:val="2"/>
                <w:lang w:val="ro-RO" w:eastAsia="zh-CN"/>
              </w:rPr>
            </w:pPr>
            <w:r w:rsidRPr="006D0E39">
              <w:rPr>
                <w:lang w:val="ro-RO"/>
              </w:rPr>
              <w:t xml:space="preserve">                 </w:t>
            </w:r>
            <w:r w:rsidRPr="006D0E39">
              <w:rPr>
                <w:b/>
                <w:lang w:val="ro-RO"/>
              </w:rPr>
              <w:t>c/f 1007601001684</w:t>
            </w:r>
            <w:r w:rsidRPr="00FB3B20">
              <w:rPr>
                <w:b/>
                <w:color w:val="FF0000"/>
                <w:lang w:val="ro-RO"/>
              </w:rPr>
              <w:t xml:space="preserve">  </w:t>
            </w:r>
            <w:r w:rsidRPr="00FB3B20">
              <w:rPr>
                <w:color w:val="FF0000"/>
                <w:lang w:val="ro-RO"/>
              </w:rPr>
              <w:t xml:space="preserve">           </w:t>
            </w:r>
          </w:p>
        </w:tc>
        <w:tc>
          <w:tcPr>
            <w:tcW w:w="2243" w:type="dxa"/>
            <w:tcBorders>
              <w:top w:val="nil"/>
              <w:left w:val="nil"/>
              <w:bottom w:val="single" w:sz="18" w:space="0" w:color="000000"/>
              <w:right w:val="nil"/>
            </w:tcBorders>
          </w:tcPr>
          <w:p w:rsidR="00971716" w:rsidRDefault="00971716" w:rsidP="007C69D2">
            <w:pPr>
              <w:rPr>
                <w:lang w:val="fr-FR"/>
              </w:rPr>
            </w:pPr>
          </w:p>
          <w:p w:rsidR="00971716" w:rsidRDefault="00971716" w:rsidP="007C69D2">
            <w:pPr>
              <w:suppressAutoHyphens/>
              <w:jc w:val="center"/>
              <w:rPr>
                <w:lang w:val="en-US"/>
              </w:rPr>
            </w:pPr>
          </w:p>
          <w:p w:rsidR="00971716" w:rsidRDefault="00971716" w:rsidP="007C69D2">
            <w:pPr>
              <w:suppressAutoHyphens/>
              <w:jc w:val="center"/>
              <w:rPr>
                <w:lang w:val="en-US"/>
              </w:rPr>
            </w:pPr>
          </w:p>
          <w:p w:rsidR="00971716" w:rsidRDefault="00971716" w:rsidP="007C69D2">
            <w:pPr>
              <w:suppressAutoHyphens/>
              <w:jc w:val="center"/>
              <w:rPr>
                <w:shadow/>
                <w:kern w:val="2"/>
                <w:lang w:val="ro-RO" w:eastAsia="zh-CN"/>
              </w:rPr>
            </w:pPr>
            <w:r>
              <w:rPr>
                <w:noProof/>
              </w:rPr>
              <w:drawing>
                <wp:inline distT="0" distB="0" distL="0" distR="0">
                  <wp:extent cx="533400" cy="695325"/>
                  <wp:effectExtent l="38100" t="19050" r="19050" b="28575"/>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33400" cy="695325"/>
                          </a:xfrm>
                          <a:prstGeom prst="rect">
                            <a:avLst/>
                          </a:prstGeom>
                          <a:solidFill>
                            <a:srgbClr val="FFFFFF"/>
                          </a:solidFill>
                          <a:ln w="3175" cmpd="sng">
                            <a:solidFill>
                              <a:srgbClr val="000000"/>
                            </a:solidFill>
                            <a:miter lim="800000"/>
                            <a:headEnd/>
                            <a:tailEnd/>
                          </a:ln>
                          <a:effectLst/>
                        </pic:spPr>
                      </pic:pic>
                    </a:graphicData>
                  </a:graphic>
                </wp:inline>
              </w:drawing>
            </w:r>
          </w:p>
        </w:tc>
        <w:tc>
          <w:tcPr>
            <w:tcW w:w="3712" w:type="dxa"/>
            <w:tcBorders>
              <w:top w:val="nil"/>
              <w:left w:val="nil"/>
              <w:bottom w:val="single" w:sz="18" w:space="0" w:color="000000"/>
              <w:right w:val="nil"/>
            </w:tcBorders>
          </w:tcPr>
          <w:p w:rsidR="00971716" w:rsidRDefault="00971716" w:rsidP="007C69D2">
            <w:pPr>
              <w:snapToGrid w:val="0"/>
              <w:jc w:val="center"/>
              <w:rPr>
                <w:shadow/>
                <w:kern w:val="2"/>
                <w:lang w:val="ro-RO" w:eastAsia="zh-CN"/>
              </w:rPr>
            </w:pPr>
          </w:p>
          <w:p w:rsidR="00971716" w:rsidRDefault="00971716" w:rsidP="007C69D2">
            <w:pPr>
              <w:jc w:val="center"/>
              <w:rPr>
                <w:b/>
                <w:shadow/>
                <w:lang w:val="ro-RO"/>
              </w:rPr>
            </w:pPr>
            <w:r>
              <w:rPr>
                <w:b/>
                <w:shadow/>
                <w:lang w:val="ro-RO"/>
              </w:rPr>
              <w:t>РЕСПУБЛИКА МОЛДОВА</w:t>
            </w:r>
          </w:p>
          <w:p w:rsidR="00971716" w:rsidRDefault="00971716" w:rsidP="007C69D2">
            <w:pPr>
              <w:jc w:val="center"/>
              <w:rPr>
                <w:b/>
                <w:shadow/>
              </w:rPr>
            </w:pPr>
            <w:r>
              <w:rPr>
                <w:b/>
                <w:shadow/>
              </w:rPr>
              <w:t>ОРХЕЙСКИЙ РАЙОН</w:t>
            </w:r>
          </w:p>
          <w:p w:rsidR="00971716" w:rsidRDefault="00971716" w:rsidP="007C69D2">
            <w:pPr>
              <w:jc w:val="center"/>
              <w:rPr>
                <w:b/>
                <w:shadow/>
              </w:rPr>
            </w:pPr>
            <w:r>
              <w:rPr>
                <w:b/>
                <w:shadow/>
              </w:rPr>
              <w:t xml:space="preserve">ПРИМЭРИЯ КОМУННЫ </w:t>
            </w:r>
          </w:p>
          <w:p w:rsidR="00971716" w:rsidRDefault="00971716" w:rsidP="007C69D2">
            <w:pPr>
              <w:jc w:val="center"/>
              <w:rPr>
                <w:b/>
                <w:shadow/>
              </w:rPr>
            </w:pPr>
            <w:r>
              <w:rPr>
                <w:b/>
                <w:shadow/>
              </w:rPr>
              <w:t>ЖОРА ДЕ МИЖЛОК</w:t>
            </w:r>
          </w:p>
          <w:p w:rsidR="00971716" w:rsidRDefault="00971716" w:rsidP="007C69D2">
            <w:pPr>
              <w:jc w:val="center"/>
              <w:rPr>
                <w:b/>
              </w:rPr>
            </w:pPr>
            <w:r>
              <w:rPr>
                <w:b/>
                <w:lang w:val="ro-RO"/>
              </w:rPr>
              <w:t>МД 3534</w:t>
            </w:r>
            <w:r>
              <w:rPr>
                <w:b/>
              </w:rPr>
              <w:t xml:space="preserve"> ком</w:t>
            </w:r>
            <w:r>
              <w:rPr>
                <w:b/>
                <w:lang w:val="ro-RO"/>
              </w:rPr>
              <w:t xml:space="preserve">. </w:t>
            </w:r>
            <w:r>
              <w:rPr>
                <w:b/>
              </w:rPr>
              <w:t xml:space="preserve">Жора де </w:t>
            </w:r>
            <w:proofErr w:type="spellStart"/>
            <w:r>
              <w:rPr>
                <w:b/>
              </w:rPr>
              <w:t>Мижлок</w:t>
            </w:r>
            <w:proofErr w:type="spellEnd"/>
          </w:p>
          <w:p w:rsidR="00971716" w:rsidRDefault="00971716" w:rsidP="007C69D2">
            <w:pPr>
              <w:jc w:val="center"/>
              <w:rPr>
                <w:b/>
              </w:rPr>
            </w:pPr>
            <w:r>
              <w:rPr>
                <w:b/>
                <w:lang w:val="ro-RO"/>
              </w:rPr>
              <w:t>Тел. (235)-</w:t>
            </w:r>
            <w:r>
              <w:rPr>
                <w:b/>
              </w:rPr>
              <w:t>55</w:t>
            </w:r>
            <w:r>
              <w:rPr>
                <w:b/>
                <w:lang w:val="ro-RO"/>
              </w:rPr>
              <w:t>-1</w:t>
            </w:r>
            <w:r>
              <w:rPr>
                <w:b/>
              </w:rPr>
              <w:t>-36, 55-2-36</w:t>
            </w:r>
          </w:p>
          <w:p w:rsidR="00971716" w:rsidRDefault="00971716" w:rsidP="007C69D2">
            <w:pPr>
              <w:suppressAutoHyphens/>
              <w:jc w:val="center"/>
              <w:rPr>
                <w:b/>
                <w:kern w:val="2"/>
                <w:lang w:val="ro-RO" w:eastAsia="zh-CN"/>
              </w:rPr>
            </w:pPr>
            <w:r>
              <w:rPr>
                <w:b/>
              </w:rPr>
              <w:t>К/</w:t>
            </w:r>
            <w:proofErr w:type="spellStart"/>
            <w:r>
              <w:rPr>
                <w:b/>
              </w:rPr>
              <w:t>ф</w:t>
            </w:r>
            <w:proofErr w:type="spellEnd"/>
            <w:r>
              <w:t xml:space="preserve"> </w:t>
            </w:r>
            <w:r>
              <w:rPr>
                <w:b/>
                <w:lang w:val="ro-RO"/>
              </w:rPr>
              <w:t xml:space="preserve"> 1007601001684  </w:t>
            </w:r>
          </w:p>
        </w:tc>
      </w:tr>
    </w:tbl>
    <w:p w:rsidR="00971716" w:rsidRDefault="00971716" w:rsidP="00971716">
      <w:pPr>
        <w:tabs>
          <w:tab w:val="left" w:pos="1185"/>
        </w:tabs>
        <w:rPr>
          <w:lang w:val="ro-RO"/>
        </w:rPr>
      </w:pPr>
    </w:p>
    <w:p w:rsidR="00971716" w:rsidRDefault="00971716" w:rsidP="00971716">
      <w:pPr>
        <w:tabs>
          <w:tab w:val="left" w:pos="1185"/>
        </w:tabs>
        <w:rPr>
          <w:lang w:val="ro-RO"/>
        </w:rPr>
      </w:pPr>
    </w:p>
    <w:p w:rsidR="00971716" w:rsidRDefault="00971716" w:rsidP="00971716">
      <w:pPr>
        <w:tabs>
          <w:tab w:val="left" w:pos="2595"/>
        </w:tabs>
        <w:rPr>
          <w:b/>
          <w:lang w:val="en-US"/>
        </w:rPr>
      </w:pPr>
      <w:r>
        <w:rPr>
          <w:lang w:val="ro-RO"/>
        </w:rPr>
        <w:t xml:space="preserve">                                                       </w:t>
      </w:r>
      <w:proofErr w:type="spellStart"/>
      <w:r>
        <w:rPr>
          <w:b/>
          <w:lang w:val="en-US"/>
        </w:rPr>
        <w:t>Decizia</w:t>
      </w:r>
      <w:proofErr w:type="spellEnd"/>
      <w:r>
        <w:rPr>
          <w:b/>
          <w:lang w:val="en-US"/>
        </w:rPr>
        <w:t xml:space="preserve"> nr.02/02</w:t>
      </w:r>
    </w:p>
    <w:p w:rsidR="00971716" w:rsidRDefault="00971716" w:rsidP="00971716">
      <w:pPr>
        <w:tabs>
          <w:tab w:val="left" w:pos="3195"/>
        </w:tabs>
        <w:rPr>
          <w:lang w:val="en-US"/>
        </w:rPr>
      </w:pPr>
      <w:r>
        <w:rPr>
          <w:b/>
          <w:lang w:val="ro-RO"/>
        </w:rPr>
        <w:t xml:space="preserve">                                                    din      04.2019</w:t>
      </w:r>
    </w:p>
    <w:p w:rsidR="00971716" w:rsidRDefault="00971716" w:rsidP="00971716">
      <w:pPr>
        <w:rPr>
          <w:b/>
          <w:lang w:val="fr-FR"/>
        </w:rPr>
      </w:pPr>
      <w:r>
        <w:rPr>
          <w:b/>
          <w:lang w:val="fr-FR"/>
        </w:rPr>
        <w:t>,,Cu privire la aprobarea</w:t>
      </w:r>
    </w:p>
    <w:p w:rsidR="00971716" w:rsidRDefault="00971716" w:rsidP="00971716">
      <w:pPr>
        <w:rPr>
          <w:b/>
          <w:lang w:val="ro-RO"/>
        </w:rPr>
      </w:pPr>
      <w:r>
        <w:rPr>
          <w:b/>
          <w:lang w:val="fr-FR"/>
        </w:rPr>
        <w:t>schemelor de încadrare,,</w:t>
      </w:r>
    </w:p>
    <w:p w:rsidR="00971716" w:rsidRDefault="00971716" w:rsidP="00971716">
      <w:pPr>
        <w:shd w:val="clear" w:color="auto" w:fill="FFFFFF" w:themeFill="background1"/>
        <w:jc w:val="both"/>
        <w:rPr>
          <w:color w:val="000000" w:themeColor="text1"/>
          <w:szCs w:val="28"/>
          <w:lang w:val="fr-FR"/>
        </w:rPr>
      </w:pPr>
    </w:p>
    <w:p w:rsidR="00971716" w:rsidRDefault="00971716" w:rsidP="00971716">
      <w:pPr>
        <w:shd w:val="clear" w:color="auto" w:fill="FFFFFF" w:themeFill="background1"/>
        <w:jc w:val="both"/>
        <w:rPr>
          <w:bCs/>
          <w:color w:val="000000" w:themeColor="text1"/>
          <w:lang w:val="fr-FR"/>
        </w:rPr>
      </w:pPr>
      <w:r>
        <w:rPr>
          <w:color w:val="000000" w:themeColor="text1"/>
          <w:szCs w:val="28"/>
          <w:lang w:val="fr-FR"/>
        </w:rPr>
        <w:t xml:space="preserve">    În temeiul art. 14 alin.(2) lit. (l)  al </w:t>
      </w:r>
      <w:r>
        <w:rPr>
          <w:color w:val="000000" w:themeColor="text1"/>
          <w:lang w:val="fr-FR"/>
        </w:rPr>
        <w:t>Legii privind administraţia publică locală nr.436-XVI din 28.12.2006, Legea  nr.270 din 23.11.2018 privind sistemul unitar de salarizare în sectorul bugetar, Ordinul Ministerului Finanţelor nr.218 din 28.12.2018</w:t>
      </w:r>
      <w:r>
        <w:rPr>
          <w:bCs/>
          <w:color w:val="000000" w:themeColor="text1"/>
          <w:lang w:val="ro-RO"/>
        </w:rPr>
        <w:t xml:space="preserve"> Cu privire la aprobarea formularelor-tip ale schemelor de încadrare pentru personalul angajat în sectorul bugetar,</w:t>
      </w:r>
      <w:r>
        <w:rPr>
          <w:bCs/>
          <w:color w:val="000000" w:themeColor="text1"/>
          <w:lang w:val="fr-FR"/>
        </w:rPr>
        <w:t xml:space="preserve">avizul pozitiv al comisiei consultative de specialitate  Finanţe, Economie și Buget,Consiliul comunal Jora de Mijloc </w:t>
      </w:r>
    </w:p>
    <w:p w:rsidR="00971716" w:rsidRDefault="00971716" w:rsidP="00971716">
      <w:pPr>
        <w:tabs>
          <w:tab w:val="left" w:pos="3210"/>
        </w:tabs>
        <w:jc w:val="both"/>
        <w:rPr>
          <w:b/>
          <w:bCs/>
          <w:color w:val="000000" w:themeColor="text1"/>
          <w:lang w:val="fr-FR"/>
        </w:rPr>
      </w:pPr>
      <w:r>
        <w:rPr>
          <w:bCs/>
          <w:color w:val="000000" w:themeColor="text1"/>
          <w:lang w:val="fr-FR"/>
        </w:rPr>
        <w:tab/>
      </w:r>
    </w:p>
    <w:p w:rsidR="00971716" w:rsidRDefault="00971716" w:rsidP="00971716">
      <w:pPr>
        <w:tabs>
          <w:tab w:val="left" w:pos="3210"/>
        </w:tabs>
        <w:jc w:val="both"/>
        <w:rPr>
          <w:lang w:val="ro-RO"/>
        </w:rPr>
      </w:pPr>
      <w:r>
        <w:rPr>
          <w:b/>
          <w:bCs/>
          <w:color w:val="000000" w:themeColor="text1"/>
          <w:lang w:val="en-US"/>
        </w:rPr>
        <w:t xml:space="preserve">                                                           DECIDE:</w:t>
      </w:r>
    </w:p>
    <w:p w:rsidR="00971716" w:rsidRDefault="00971716" w:rsidP="00971716">
      <w:pPr>
        <w:pStyle w:val="a3"/>
        <w:numPr>
          <w:ilvl w:val="0"/>
          <w:numId w:val="2"/>
        </w:numPr>
        <w:tabs>
          <w:tab w:val="left" w:pos="1185"/>
        </w:tabs>
        <w:jc w:val="both"/>
        <w:rPr>
          <w:rFonts w:ascii="Times New Roman" w:hAnsi="Times New Roman" w:cs="Times New Roman"/>
          <w:sz w:val="24"/>
          <w:szCs w:val="24"/>
          <w:lang w:val="ro-RO"/>
        </w:rPr>
      </w:pPr>
      <w:r>
        <w:rPr>
          <w:rFonts w:ascii="Times New Roman" w:hAnsi="Times New Roman" w:cs="Times New Roman"/>
          <w:sz w:val="24"/>
          <w:szCs w:val="24"/>
          <w:lang w:val="ro-RO"/>
        </w:rPr>
        <w:t>Se aprobă schemele de încadrare pentru anul 2019 după cum urmează:</w:t>
      </w:r>
    </w:p>
    <w:p w:rsidR="00971716" w:rsidRPr="000340B8" w:rsidRDefault="00971716" w:rsidP="00971716">
      <w:pPr>
        <w:pStyle w:val="a3"/>
        <w:numPr>
          <w:ilvl w:val="0"/>
          <w:numId w:val="1"/>
        </w:numPr>
        <w:tabs>
          <w:tab w:val="left" w:pos="1185"/>
        </w:tabs>
        <w:jc w:val="both"/>
        <w:rPr>
          <w:rFonts w:ascii="Times New Roman" w:hAnsi="Times New Roman" w:cs="Times New Roman"/>
          <w:sz w:val="24"/>
          <w:szCs w:val="24"/>
          <w:lang w:val="ro-RO"/>
        </w:rPr>
      </w:pPr>
      <w:r w:rsidRPr="000340B8">
        <w:rPr>
          <w:rFonts w:ascii="Times New Roman" w:hAnsi="Times New Roman" w:cs="Times New Roman"/>
          <w:sz w:val="24"/>
          <w:szCs w:val="24"/>
          <w:lang w:val="ro-RO"/>
        </w:rPr>
        <w:t>Aparatul primarului conform anexei nr.1</w:t>
      </w:r>
    </w:p>
    <w:p w:rsidR="00971716" w:rsidRDefault="00971716" w:rsidP="00971716">
      <w:pPr>
        <w:pStyle w:val="a3"/>
        <w:numPr>
          <w:ilvl w:val="0"/>
          <w:numId w:val="1"/>
        </w:numPr>
        <w:tabs>
          <w:tab w:val="left" w:pos="1185"/>
        </w:tabs>
        <w:jc w:val="both"/>
        <w:rPr>
          <w:rFonts w:ascii="Times New Roman" w:hAnsi="Times New Roman" w:cs="Times New Roman"/>
          <w:sz w:val="24"/>
          <w:szCs w:val="24"/>
          <w:lang w:val="ro-RO"/>
        </w:rPr>
      </w:pPr>
      <w:r>
        <w:rPr>
          <w:rFonts w:ascii="Times New Roman" w:hAnsi="Times New Roman" w:cs="Times New Roman"/>
          <w:sz w:val="24"/>
          <w:szCs w:val="24"/>
          <w:lang w:val="ro-RO"/>
        </w:rPr>
        <w:t>Grădiniţa Jora de Mijloc conform anexei nr.2.</w:t>
      </w:r>
    </w:p>
    <w:p w:rsidR="00971716" w:rsidRDefault="00971716" w:rsidP="00971716">
      <w:pPr>
        <w:pStyle w:val="a3"/>
        <w:numPr>
          <w:ilvl w:val="0"/>
          <w:numId w:val="1"/>
        </w:numPr>
        <w:tabs>
          <w:tab w:val="left" w:pos="1185"/>
        </w:tabs>
        <w:jc w:val="both"/>
        <w:rPr>
          <w:rFonts w:ascii="Times New Roman" w:hAnsi="Times New Roman" w:cs="Times New Roman"/>
          <w:sz w:val="24"/>
          <w:szCs w:val="24"/>
          <w:lang w:val="ro-RO"/>
        </w:rPr>
      </w:pPr>
      <w:r>
        <w:rPr>
          <w:rFonts w:ascii="Times New Roman" w:hAnsi="Times New Roman" w:cs="Times New Roman"/>
          <w:sz w:val="24"/>
          <w:szCs w:val="24"/>
          <w:lang w:val="ro-RO"/>
        </w:rPr>
        <w:t>Grădinița Jora de Sus conform anexei Nr.3</w:t>
      </w:r>
    </w:p>
    <w:p w:rsidR="00971716" w:rsidRDefault="00971716" w:rsidP="00971716">
      <w:pPr>
        <w:pStyle w:val="a3"/>
        <w:numPr>
          <w:ilvl w:val="0"/>
          <w:numId w:val="1"/>
        </w:numPr>
        <w:tabs>
          <w:tab w:val="left" w:pos="1185"/>
        </w:tabs>
        <w:jc w:val="both"/>
        <w:rPr>
          <w:rFonts w:ascii="Times New Roman" w:hAnsi="Times New Roman" w:cs="Times New Roman"/>
          <w:sz w:val="24"/>
          <w:szCs w:val="24"/>
          <w:lang w:val="ro-RO"/>
        </w:rPr>
      </w:pPr>
      <w:r>
        <w:rPr>
          <w:rFonts w:ascii="Times New Roman" w:hAnsi="Times New Roman" w:cs="Times New Roman"/>
          <w:sz w:val="24"/>
          <w:szCs w:val="24"/>
          <w:lang w:val="ro-RO"/>
        </w:rPr>
        <w:t>Grădinișa s.Lopatna conform anexei nr.4</w:t>
      </w:r>
    </w:p>
    <w:p w:rsidR="00971716" w:rsidRDefault="00971716" w:rsidP="00971716">
      <w:pPr>
        <w:pStyle w:val="a3"/>
        <w:numPr>
          <w:ilvl w:val="0"/>
          <w:numId w:val="1"/>
        </w:numPr>
        <w:tabs>
          <w:tab w:val="left" w:pos="1185"/>
        </w:tabs>
        <w:jc w:val="both"/>
        <w:rPr>
          <w:rFonts w:ascii="Times New Roman" w:hAnsi="Times New Roman" w:cs="Times New Roman"/>
          <w:sz w:val="24"/>
          <w:szCs w:val="24"/>
          <w:lang w:val="ro-RO"/>
        </w:rPr>
      </w:pPr>
      <w:r>
        <w:rPr>
          <w:rFonts w:ascii="Times New Roman" w:hAnsi="Times New Roman" w:cs="Times New Roman"/>
          <w:sz w:val="24"/>
          <w:szCs w:val="24"/>
          <w:lang w:val="ro-RO"/>
        </w:rPr>
        <w:t>Casa Cultură Jora de Sus conform anexei nr.5</w:t>
      </w:r>
    </w:p>
    <w:p w:rsidR="00971716" w:rsidRDefault="00971716" w:rsidP="00971716">
      <w:pPr>
        <w:pStyle w:val="a3"/>
        <w:numPr>
          <w:ilvl w:val="0"/>
          <w:numId w:val="1"/>
        </w:numPr>
        <w:tabs>
          <w:tab w:val="left" w:pos="1185"/>
        </w:tabs>
        <w:jc w:val="both"/>
        <w:rPr>
          <w:rFonts w:ascii="Times New Roman" w:hAnsi="Times New Roman" w:cs="Times New Roman"/>
          <w:sz w:val="24"/>
          <w:szCs w:val="24"/>
          <w:lang w:val="ro-RO"/>
        </w:rPr>
      </w:pPr>
      <w:r>
        <w:rPr>
          <w:rFonts w:ascii="Times New Roman" w:hAnsi="Times New Roman" w:cs="Times New Roman"/>
          <w:sz w:val="24"/>
          <w:szCs w:val="24"/>
          <w:lang w:val="ro-RO"/>
        </w:rPr>
        <w:t>Căminul cultural Jora de Mijloc conform anexei nr.6</w:t>
      </w:r>
    </w:p>
    <w:p w:rsidR="00971716" w:rsidRDefault="00971716" w:rsidP="00971716">
      <w:pPr>
        <w:pStyle w:val="a3"/>
        <w:numPr>
          <w:ilvl w:val="0"/>
          <w:numId w:val="1"/>
        </w:numPr>
        <w:tabs>
          <w:tab w:val="left" w:pos="1185"/>
        </w:tabs>
        <w:jc w:val="both"/>
        <w:rPr>
          <w:rFonts w:ascii="Times New Roman" w:hAnsi="Times New Roman" w:cs="Times New Roman"/>
          <w:sz w:val="24"/>
          <w:szCs w:val="24"/>
          <w:lang w:val="ro-RO"/>
        </w:rPr>
      </w:pPr>
      <w:r>
        <w:rPr>
          <w:rFonts w:ascii="Times New Roman" w:hAnsi="Times New Roman" w:cs="Times New Roman"/>
          <w:sz w:val="24"/>
          <w:szCs w:val="24"/>
          <w:lang w:val="ro-RO"/>
        </w:rPr>
        <w:t>Căminul cultural s.Lopatna nr. 7</w:t>
      </w:r>
    </w:p>
    <w:p w:rsidR="00971716" w:rsidRDefault="00971716" w:rsidP="00971716">
      <w:pPr>
        <w:pStyle w:val="a3"/>
        <w:numPr>
          <w:ilvl w:val="0"/>
          <w:numId w:val="1"/>
        </w:numPr>
        <w:tabs>
          <w:tab w:val="left" w:pos="1185"/>
        </w:tabs>
        <w:jc w:val="both"/>
        <w:rPr>
          <w:rFonts w:ascii="Times New Roman" w:hAnsi="Times New Roman" w:cs="Times New Roman"/>
          <w:sz w:val="24"/>
          <w:szCs w:val="24"/>
          <w:lang w:val="ro-RO"/>
        </w:rPr>
      </w:pPr>
      <w:r>
        <w:rPr>
          <w:rFonts w:ascii="Times New Roman" w:hAnsi="Times New Roman" w:cs="Times New Roman"/>
          <w:sz w:val="24"/>
          <w:szCs w:val="24"/>
          <w:lang w:val="ro-RO"/>
        </w:rPr>
        <w:t>Biblioteca publică Jora de Mijloc conform anexei nr.8</w:t>
      </w:r>
    </w:p>
    <w:p w:rsidR="00971716" w:rsidRDefault="00971716" w:rsidP="00971716">
      <w:pPr>
        <w:pStyle w:val="a3"/>
        <w:numPr>
          <w:ilvl w:val="0"/>
          <w:numId w:val="1"/>
        </w:numPr>
        <w:tabs>
          <w:tab w:val="left" w:pos="1185"/>
        </w:tabs>
        <w:jc w:val="both"/>
        <w:rPr>
          <w:rFonts w:ascii="Times New Roman" w:hAnsi="Times New Roman" w:cs="Times New Roman"/>
          <w:sz w:val="24"/>
          <w:szCs w:val="24"/>
          <w:lang w:val="ro-RO"/>
        </w:rPr>
      </w:pPr>
      <w:r>
        <w:rPr>
          <w:rFonts w:ascii="Times New Roman" w:hAnsi="Times New Roman" w:cs="Times New Roman"/>
          <w:sz w:val="24"/>
          <w:szCs w:val="24"/>
          <w:lang w:val="ro-RO"/>
        </w:rPr>
        <w:t>Biblioteca publică Jora de Sus conform anexei nr.9</w:t>
      </w:r>
    </w:p>
    <w:p w:rsidR="00971716" w:rsidRPr="000340B8" w:rsidRDefault="00971716" w:rsidP="00971716">
      <w:pPr>
        <w:pStyle w:val="a3"/>
        <w:numPr>
          <w:ilvl w:val="0"/>
          <w:numId w:val="1"/>
        </w:numPr>
        <w:tabs>
          <w:tab w:val="left" w:pos="1185"/>
        </w:tabs>
        <w:jc w:val="both"/>
        <w:rPr>
          <w:rFonts w:ascii="Times New Roman" w:hAnsi="Times New Roman" w:cs="Times New Roman"/>
          <w:sz w:val="24"/>
          <w:szCs w:val="24"/>
          <w:lang w:val="ro-RO"/>
        </w:rPr>
      </w:pPr>
      <w:r>
        <w:rPr>
          <w:rFonts w:ascii="Times New Roman" w:hAnsi="Times New Roman" w:cs="Times New Roman"/>
          <w:sz w:val="24"/>
          <w:szCs w:val="24"/>
          <w:lang w:val="ro-RO"/>
        </w:rPr>
        <w:t>Biblioteca publică s.Lopatna conform anexei nr.10.</w:t>
      </w:r>
    </w:p>
    <w:p w:rsidR="00971716" w:rsidRPr="000340B8" w:rsidRDefault="00971716" w:rsidP="00971716">
      <w:pPr>
        <w:tabs>
          <w:tab w:val="left" w:pos="1185"/>
        </w:tabs>
        <w:ind w:left="284"/>
        <w:jc w:val="both"/>
        <w:rPr>
          <w:lang w:val="ro-RO"/>
        </w:rPr>
      </w:pPr>
      <w:r>
        <w:rPr>
          <w:lang w:val="ro-RO"/>
        </w:rPr>
        <w:lastRenderedPageBreak/>
        <w:t>2.Primarul  interimar al comunei Jora de Mijloc dl Serghei LABLIUC va asigura în termenii stabiliți de legislație elaborarea schemelor de încadrare  în conformitate cu prevederile  Ordinului Ministerului Finanțăelor nr.218 din 28.12.2018 cu privire la aprobarea formulelor tip ale schemelor de încadrare pentru personalul angajat în sectorul bugetar și prezentate la Direcția Generală Finanțe Orhei.</w:t>
      </w:r>
    </w:p>
    <w:p w:rsidR="00971716" w:rsidRDefault="00971716" w:rsidP="00971716">
      <w:pPr>
        <w:tabs>
          <w:tab w:val="left" w:pos="1185"/>
        </w:tabs>
        <w:ind w:left="284"/>
        <w:jc w:val="both"/>
        <w:rPr>
          <w:lang w:val="ro-RO"/>
        </w:rPr>
      </w:pPr>
    </w:p>
    <w:p w:rsidR="00971716" w:rsidRPr="000340B8" w:rsidRDefault="00971716" w:rsidP="00971716">
      <w:pPr>
        <w:tabs>
          <w:tab w:val="left" w:pos="1185"/>
        </w:tabs>
        <w:ind w:left="284"/>
        <w:jc w:val="both"/>
        <w:rPr>
          <w:lang w:val="ro-RO"/>
        </w:rPr>
      </w:pPr>
      <w:r>
        <w:rPr>
          <w:lang w:val="ro-RO"/>
        </w:rPr>
        <w:t>2.</w:t>
      </w:r>
      <w:r w:rsidRPr="000340B8">
        <w:rPr>
          <w:lang w:val="ro-RO"/>
        </w:rPr>
        <w:t xml:space="preserve">Controlul îndeplinirii prezentei decizii se pune în sarcina primarului </w:t>
      </w:r>
      <w:r>
        <w:rPr>
          <w:lang w:val="ro-RO"/>
        </w:rPr>
        <w:t>interimar al comunei Jora de Mijloc dlui Serghei LABLIUC.</w:t>
      </w:r>
    </w:p>
    <w:p w:rsidR="00971716" w:rsidRDefault="00971716" w:rsidP="00971716">
      <w:pPr>
        <w:tabs>
          <w:tab w:val="left" w:pos="1185"/>
        </w:tabs>
        <w:jc w:val="both"/>
        <w:rPr>
          <w:lang w:val="ro-RO"/>
        </w:rPr>
      </w:pPr>
    </w:p>
    <w:p w:rsidR="00971716" w:rsidRDefault="00971716" w:rsidP="00971716">
      <w:pPr>
        <w:tabs>
          <w:tab w:val="left" w:pos="1185"/>
        </w:tabs>
        <w:jc w:val="both"/>
        <w:rPr>
          <w:lang w:val="ro-RO"/>
        </w:rPr>
      </w:pPr>
    </w:p>
    <w:p w:rsidR="00971716" w:rsidRDefault="00971716" w:rsidP="00971716">
      <w:pPr>
        <w:tabs>
          <w:tab w:val="left" w:pos="1185"/>
        </w:tabs>
        <w:jc w:val="both"/>
        <w:rPr>
          <w:lang w:val="ro-RO"/>
        </w:rPr>
      </w:pPr>
    </w:p>
    <w:p w:rsidR="00971716" w:rsidRDefault="00971716" w:rsidP="00971716">
      <w:pPr>
        <w:tabs>
          <w:tab w:val="left" w:pos="1185"/>
        </w:tabs>
        <w:jc w:val="both"/>
        <w:rPr>
          <w:lang w:val="ro-RO"/>
        </w:rPr>
      </w:pPr>
      <w:r>
        <w:rPr>
          <w:lang w:val="ro-RO"/>
        </w:rPr>
        <w:t xml:space="preserve">     Preşedinte</w:t>
      </w:r>
    </w:p>
    <w:p w:rsidR="00971716" w:rsidRDefault="00971716" w:rsidP="00971716">
      <w:pPr>
        <w:tabs>
          <w:tab w:val="left" w:pos="1185"/>
          <w:tab w:val="left" w:pos="5988"/>
        </w:tabs>
        <w:jc w:val="both"/>
        <w:rPr>
          <w:lang w:val="ro-RO"/>
        </w:rPr>
      </w:pPr>
      <w:r>
        <w:rPr>
          <w:lang w:val="ro-RO"/>
        </w:rPr>
        <w:t xml:space="preserve">     Secretar al consiliului</w:t>
      </w:r>
      <w:r>
        <w:rPr>
          <w:lang w:val="ro-RO"/>
        </w:rPr>
        <w:tab/>
        <w:t xml:space="preserve">                                                P.Pantaz</w:t>
      </w:r>
    </w:p>
    <w:p w:rsidR="00971716" w:rsidRDefault="00971716" w:rsidP="00971716">
      <w:pPr>
        <w:tabs>
          <w:tab w:val="left" w:pos="1185"/>
        </w:tabs>
        <w:rPr>
          <w:lang w:val="ro-RO"/>
        </w:rPr>
      </w:pPr>
    </w:p>
    <w:p w:rsidR="001C0FF6" w:rsidRPr="00971716" w:rsidRDefault="001C0FF6">
      <w:pPr>
        <w:rPr>
          <w:lang w:val="ro-RO"/>
        </w:rPr>
      </w:pPr>
    </w:p>
    <w:sectPr w:rsidR="001C0FF6" w:rsidRPr="009717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63409"/>
    <w:multiLevelType w:val="hybridMultilevel"/>
    <w:tmpl w:val="679E727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FFF028F"/>
    <w:multiLevelType w:val="hybridMultilevel"/>
    <w:tmpl w:val="BF768940"/>
    <w:lvl w:ilvl="0" w:tplc="1F6860F2">
      <w:start w:val="1"/>
      <w:numFmt w:val="bullet"/>
      <w:lvlText w:val="-"/>
      <w:lvlJc w:val="left"/>
      <w:pPr>
        <w:ind w:left="108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971716"/>
    <w:rsid w:val="001C0FF6"/>
    <w:rsid w:val="00971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716"/>
    <w:pPr>
      <w:ind w:left="720"/>
      <w:contextualSpacing/>
    </w:pPr>
    <w:rPr>
      <w:rFonts w:eastAsiaTheme="minorHAnsi"/>
      <w:lang w:eastAsia="en-US"/>
    </w:rPr>
  </w:style>
  <w:style w:type="paragraph" w:styleId="a4">
    <w:name w:val="Balloon Text"/>
    <w:basedOn w:val="a"/>
    <w:link w:val="a5"/>
    <w:uiPriority w:val="99"/>
    <w:semiHidden/>
    <w:unhideWhenUsed/>
    <w:rsid w:val="009717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17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1902</Characters>
  <Application>Microsoft Office Word</Application>
  <DocSecurity>0</DocSecurity>
  <Lines>15</Lines>
  <Paragraphs>4</Paragraphs>
  <ScaleCrop>false</ScaleCrop>
  <Company>Reanimator Extreme Edition</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2019-04-03T13:17:00Z</dcterms:created>
  <dcterms:modified xsi:type="dcterms:W3CDTF">2019-04-03T13:17:00Z</dcterms:modified>
</cp:coreProperties>
</file>