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A95596" w:rsidTr="0002144C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95596" w:rsidRDefault="00A95596" w:rsidP="0002144C">
            <w:pPr>
              <w:jc w:val="center"/>
              <w:rPr>
                <w:b/>
                <w:shadow/>
                <w:lang w:val="en-US"/>
              </w:rPr>
            </w:pPr>
          </w:p>
          <w:p w:rsidR="00A95596" w:rsidRDefault="00A95596" w:rsidP="0002144C">
            <w:pPr>
              <w:jc w:val="center"/>
              <w:rPr>
                <w:b/>
                <w:shadow/>
                <w:lang w:val="en-US"/>
              </w:rPr>
            </w:pPr>
            <w:r>
              <w:rPr>
                <w:b/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hadow/>
                    <w:lang w:val="en-US"/>
                  </w:rPr>
                  <w:t>MOLDOVA</w:t>
                </w:r>
              </w:smartTag>
            </w:smartTag>
          </w:p>
          <w:p w:rsidR="00A95596" w:rsidRDefault="00A95596" w:rsidP="0002144C">
            <w:pPr>
              <w:jc w:val="center"/>
              <w:rPr>
                <w:b/>
                <w:shadow/>
                <w:lang w:val="en-US"/>
              </w:rPr>
            </w:pPr>
          </w:p>
          <w:p w:rsidR="00A95596" w:rsidRDefault="00A95596" w:rsidP="0002144C">
            <w:pPr>
              <w:jc w:val="center"/>
              <w:rPr>
                <w:b/>
                <w:shadow/>
                <w:lang w:val="en-US"/>
              </w:rPr>
            </w:pPr>
            <w:r>
              <w:rPr>
                <w:b/>
                <w:shadow/>
                <w:lang w:val="ro-RO"/>
              </w:rPr>
              <w:t>RAIONUL ORHEI</w:t>
            </w:r>
          </w:p>
          <w:p w:rsidR="00A95596" w:rsidRDefault="00A95596" w:rsidP="0002144C">
            <w:pPr>
              <w:jc w:val="center"/>
              <w:rPr>
                <w:b/>
                <w:shadow/>
                <w:lang w:val="en-US"/>
              </w:rPr>
            </w:pPr>
          </w:p>
          <w:p w:rsidR="00A95596" w:rsidRDefault="00A95596" w:rsidP="0002144C">
            <w:pPr>
              <w:jc w:val="center"/>
              <w:rPr>
                <w:b/>
                <w:shadow/>
                <w:lang w:val="ro-RO"/>
              </w:rPr>
            </w:pPr>
            <w:r>
              <w:rPr>
                <w:b/>
                <w:shadow/>
                <w:sz w:val="22"/>
                <w:szCs w:val="22"/>
                <w:lang w:val="ro-RO"/>
              </w:rPr>
              <w:t>CONSILIUL COMUNAL</w:t>
            </w:r>
          </w:p>
          <w:p w:rsidR="00A95596" w:rsidRDefault="00A95596" w:rsidP="0002144C">
            <w:pPr>
              <w:jc w:val="center"/>
              <w:rPr>
                <w:b/>
                <w:caps/>
                <w:shadow/>
                <w:lang w:val="ro-RO"/>
              </w:rPr>
            </w:pPr>
            <w:r>
              <w:rPr>
                <w:b/>
                <w:shadow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caps/>
                <w:shadow/>
                <w:sz w:val="22"/>
                <w:szCs w:val="22"/>
                <w:lang w:val="ro-RO"/>
              </w:rPr>
              <w:t>Jora de Mijloc</w:t>
            </w:r>
          </w:p>
          <w:p w:rsidR="00A95596" w:rsidRDefault="00A95596" w:rsidP="0002144C">
            <w:pPr>
              <w:jc w:val="center"/>
              <w:rPr>
                <w:b/>
                <w:noProof/>
                <w:lang w:val="en-US"/>
              </w:rPr>
            </w:pPr>
          </w:p>
          <w:p w:rsidR="00A95596" w:rsidRDefault="00A95596" w:rsidP="0002144C">
            <w:pPr>
              <w:jc w:val="center"/>
              <w:rPr>
                <w:b/>
                <w:noProof/>
                <w:lang w:val="en-US"/>
              </w:rPr>
            </w:pPr>
            <w:r>
              <w:rPr>
                <w:b/>
                <w:noProof/>
                <w:sz w:val="22"/>
                <w:szCs w:val="22"/>
                <w:lang w:val="ro-RO"/>
              </w:rPr>
              <w:t>MD 3534 com. Jora de Mijloc</w:t>
            </w:r>
          </w:p>
          <w:p w:rsidR="00A95596" w:rsidRDefault="00A95596" w:rsidP="0002144C">
            <w:pPr>
              <w:jc w:val="center"/>
              <w:rPr>
                <w:b/>
                <w:noProof/>
                <w:lang w:val="ro-RO"/>
              </w:rPr>
            </w:pPr>
            <w:r>
              <w:rPr>
                <w:b/>
                <w:noProof/>
                <w:sz w:val="22"/>
                <w:szCs w:val="22"/>
                <w:lang w:val="ro-RO"/>
              </w:rPr>
              <w:t>Tel. (235)-55-1-36, 55-2-36</w:t>
            </w:r>
          </w:p>
          <w:p w:rsidR="00A95596" w:rsidRDefault="00A95596" w:rsidP="0002144C">
            <w:pPr>
              <w:jc w:val="center"/>
              <w:rPr>
                <w:b/>
                <w:noProof/>
                <w:lang w:val="ro-RO"/>
              </w:rPr>
            </w:pPr>
            <w:r>
              <w:rPr>
                <w:b/>
                <w:noProof/>
                <w:sz w:val="22"/>
                <w:szCs w:val="22"/>
                <w:lang w:val="ro-RO"/>
              </w:rPr>
              <w:t>C/f 1007601001684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95596" w:rsidRDefault="00A95596" w:rsidP="0002144C">
            <w:pPr>
              <w:jc w:val="center"/>
              <w:rPr>
                <w:b/>
                <w:noProof/>
                <w:lang w:val="ro-RO"/>
              </w:rPr>
            </w:pPr>
          </w:p>
          <w:p w:rsidR="00A95596" w:rsidRDefault="00A95596" w:rsidP="0002144C">
            <w:pPr>
              <w:jc w:val="center"/>
              <w:rPr>
                <w:b/>
                <w:noProof/>
                <w:lang w:val="en-US"/>
              </w:rPr>
            </w:pPr>
          </w:p>
          <w:p w:rsidR="00A95596" w:rsidRDefault="00A95596" w:rsidP="0002144C">
            <w:pPr>
              <w:jc w:val="center"/>
              <w:rPr>
                <w:b/>
                <w:lang w:val="ro-RO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9334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95596" w:rsidRDefault="00A95596" w:rsidP="0002144C">
            <w:pPr>
              <w:jc w:val="center"/>
              <w:rPr>
                <w:b/>
                <w:shadow/>
                <w:noProof/>
                <w:lang w:val="ro-RO"/>
              </w:rPr>
            </w:pPr>
          </w:p>
          <w:p w:rsidR="00A95596" w:rsidRDefault="00A95596" w:rsidP="0002144C">
            <w:pPr>
              <w:jc w:val="center"/>
              <w:rPr>
                <w:b/>
                <w:shadow/>
                <w:noProof/>
                <w:lang w:val="ro-RO"/>
              </w:rPr>
            </w:pPr>
            <w:r>
              <w:rPr>
                <w:b/>
                <w:shadow/>
                <w:noProof/>
                <w:lang w:val="ro-RO"/>
              </w:rPr>
              <w:t>РЕСПУБЛИКА МОЛДОВА</w:t>
            </w:r>
          </w:p>
          <w:p w:rsidR="00A95596" w:rsidRDefault="00A95596" w:rsidP="0002144C">
            <w:pPr>
              <w:jc w:val="center"/>
              <w:rPr>
                <w:b/>
                <w:shadow/>
                <w:lang w:val="ro-RO"/>
              </w:rPr>
            </w:pPr>
          </w:p>
          <w:p w:rsidR="00A95596" w:rsidRDefault="00A95596" w:rsidP="0002144C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ОРХЕЙСКИЙ РАЙОН</w:t>
            </w:r>
          </w:p>
          <w:p w:rsidR="00A95596" w:rsidRDefault="00A95596" w:rsidP="0002144C">
            <w:pPr>
              <w:jc w:val="center"/>
              <w:rPr>
                <w:b/>
                <w:shadow/>
              </w:rPr>
            </w:pPr>
          </w:p>
          <w:p w:rsidR="00A95596" w:rsidRDefault="00A95596" w:rsidP="0002144C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КОММУНАЛЬНЫЙ СОВЕТ</w:t>
            </w:r>
          </w:p>
          <w:p w:rsidR="00A95596" w:rsidRDefault="00A95596" w:rsidP="0002144C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ЖОРА ДЕ МИЖЛОК</w:t>
            </w:r>
          </w:p>
          <w:p w:rsidR="00A95596" w:rsidRDefault="00A95596" w:rsidP="0002144C">
            <w:pPr>
              <w:jc w:val="center"/>
              <w:rPr>
                <w:b/>
                <w:lang w:val="ro-RO"/>
              </w:rPr>
            </w:pPr>
          </w:p>
          <w:p w:rsidR="00A95596" w:rsidRDefault="00A95596" w:rsidP="000214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ro-RO"/>
              </w:rPr>
              <w:t>МД 3534</w:t>
            </w:r>
            <w:r>
              <w:rPr>
                <w:b/>
                <w:sz w:val="22"/>
                <w:szCs w:val="22"/>
              </w:rPr>
              <w:t xml:space="preserve"> ком</w:t>
            </w:r>
            <w:r>
              <w:rPr>
                <w:b/>
                <w:sz w:val="22"/>
                <w:szCs w:val="22"/>
                <w:lang w:val="ro-RO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Жора де </w:t>
            </w:r>
            <w:proofErr w:type="spellStart"/>
            <w:r>
              <w:rPr>
                <w:b/>
                <w:sz w:val="22"/>
                <w:szCs w:val="22"/>
              </w:rPr>
              <w:t>Мижлок</w:t>
            </w:r>
            <w:proofErr w:type="spellEnd"/>
          </w:p>
          <w:p w:rsidR="00A95596" w:rsidRDefault="00A95596" w:rsidP="000214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ro-RO"/>
              </w:rPr>
              <w:t>Тел. (235)-</w:t>
            </w:r>
            <w:r>
              <w:rPr>
                <w:b/>
                <w:sz w:val="22"/>
                <w:szCs w:val="22"/>
              </w:rPr>
              <w:t>55</w:t>
            </w:r>
            <w:r>
              <w:rPr>
                <w:b/>
                <w:sz w:val="22"/>
                <w:szCs w:val="22"/>
                <w:lang w:val="ro-RO"/>
              </w:rPr>
              <w:t>-1</w:t>
            </w:r>
            <w:r>
              <w:rPr>
                <w:b/>
                <w:sz w:val="22"/>
                <w:szCs w:val="22"/>
              </w:rPr>
              <w:t>-36, 55-2-36</w:t>
            </w:r>
          </w:p>
          <w:p w:rsidR="00A95596" w:rsidRDefault="00A95596" w:rsidP="0002144C">
            <w:pPr>
              <w:jc w:val="center"/>
              <w:rPr>
                <w:b/>
                <w:noProof/>
                <w:lang w:val="ro-RO"/>
              </w:rPr>
            </w:pPr>
            <w:r>
              <w:rPr>
                <w:b/>
                <w:sz w:val="22"/>
                <w:szCs w:val="22"/>
              </w:rPr>
              <w:t>К/</w:t>
            </w:r>
            <w:proofErr w:type="spellStart"/>
            <w:r>
              <w:rPr>
                <w:b/>
                <w:sz w:val="22"/>
                <w:szCs w:val="22"/>
              </w:rPr>
              <w:t>ф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ro-RO"/>
              </w:rPr>
              <w:t>1007601001684</w:t>
            </w:r>
          </w:p>
        </w:tc>
      </w:tr>
    </w:tbl>
    <w:p w:rsidR="00A95596" w:rsidRPr="003914A8" w:rsidRDefault="00A95596" w:rsidP="00CE2565">
      <w:pPr>
        <w:tabs>
          <w:tab w:val="left" w:pos="4320"/>
        </w:tabs>
        <w:jc w:val="center"/>
        <w:rPr>
          <w:sz w:val="24"/>
          <w:szCs w:val="24"/>
        </w:rPr>
      </w:pPr>
    </w:p>
    <w:p w:rsidR="002B2281" w:rsidRPr="0034297F" w:rsidRDefault="008E3C71" w:rsidP="00CE2565">
      <w:pPr>
        <w:tabs>
          <w:tab w:val="left" w:pos="4320"/>
        </w:tabs>
        <w:jc w:val="center"/>
        <w:rPr>
          <w:sz w:val="24"/>
          <w:szCs w:val="24"/>
          <w:lang w:val="en-US"/>
        </w:rPr>
      </w:pPr>
      <w:proofErr w:type="spellStart"/>
      <w:proofErr w:type="gramStart"/>
      <w:r w:rsidRPr="0034297F">
        <w:rPr>
          <w:sz w:val="24"/>
          <w:szCs w:val="24"/>
          <w:lang w:val="en-US"/>
        </w:rPr>
        <w:t>Decizie</w:t>
      </w:r>
      <w:proofErr w:type="spellEnd"/>
      <w:r w:rsidRPr="0034297F">
        <w:rPr>
          <w:sz w:val="24"/>
          <w:szCs w:val="24"/>
          <w:lang w:val="en-US"/>
        </w:rPr>
        <w:t xml:space="preserve">  nr</w:t>
      </w:r>
      <w:proofErr w:type="gramEnd"/>
      <w:r w:rsidRPr="0034297F">
        <w:rPr>
          <w:sz w:val="24"/>
          <w:szCs w:val="24"/>
          <w:lang w:val="en-US"/>
        </w:rPr>
        <w:t>.</w:t>
      </w:r>
      <w:r w:rsidR="00FB34BF">
        <w:rPr>
          <w:sz w:val="24"/>
          <w:szCs w:val="24"/>
          <w:lang w:val="en-US"/>
        </w:rPr>
        <w:t>____</w:t>
      </w:r>
    </w:p>
    <w:p w:rsidR="002B2281" w:rsidRPr="0034297F" w:rsidRDefault="00FB34BF" w:rsidP="00CE2565">
      <w:pPr>
        <w:tabs>
          <w:tab w:val="left" w:pos="4320"/>
        </w:tabs>
        <w:jc w:val="center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d</w:t>
      </w:r>
      <w:r w:rsidR="008E3C71" w:rsidRPr="0034297F">
        <w:rPr>
          <w:sz w:val="24"/>
          <w:szCs w:val="24"/>
          <w:lang w:val="en-US"/>
        </w:rPr>
        <w:t>in</w:t>
      </w:r>
      <w:proofErr w:type="gramEnd"/>
      <w:r>
        <w:rPr>
          <w:sz w:val="24"/>
          <w:szCs w:val="24"/>
          <w:lang w:val="en-US"/>
        </w:rPr>
        <w:t xml:space="preserve"> 2</w:t>
      </w:r>
      <w:r w:rsidR="003914A8">
        <w:rPr>
          <w:sz w:val="24"/>
          <w:szCs w:val="24"/>
          <w:lang w:val="en-US"/>
        </w:rPr>
        <w:t>2</w:t>
      </w:r>
      <w:r w:rsidR="008E3C71" w:rsidRPr="0034297F"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ma</w:t>
      </w:r>
      <w:r w:rsidR="003914A8">
        <w:rPr>
          <w:sz w:val="24"/>
          <w:szCs w:val="24"/>
          <w:lang w:val="en-US"/>
        </w:rPr>
        <w:t>i</w:t>
      </w:r>
      <w:proofErr w:type="spellEnd"/>
      <w:r w:rsidR="008E3C71" w:rsidRPr="0034297F">
        <w:rPr>
          <w:sz w:val="24"/>
          <w:szCs w:val="24"/>
          <w:lang w:val="en-US"/>
        </w:rPr>
        <w:t xml:space="preserve">  20</w:t>
      </w:r>
      <w:r w:rsidR="003914A8">
        <w:rPr>
          <w:sz w:val="24"/>
          <w:szCs w:val="24"/>
          <w:lang w:val="en-US"/>
        </w:rPr>
        <w:t>20</w:t>
      </w:r>
    </w:p>
    <w:p w:rsidR="002B2281" w:rsidRPr="0034297F" w:rsidRDefault="002B2281" w:rsidP="00CE2565">
      <w:pPr>
        <w:tabs>
          <w:tab w:val="left" w:pos="4320"/>
        </w:tabs>
        <w:jc w:val="center"/>
        <w:rPr>
          <w:b/>
          <w:sz w:val="24"/>
          <w:szCs w:val="24"/>
          <w:lang w:val="en-US"/>
        </w:rPr>
      </w:pPr>
    </w:p>
    <w:p w:rsidR="002B2281" w:rsidRPr="0034297F" w:rsidRDefault="00FB34BF" w:rsidP="002B2281">
      <w:pPr>
        <w:pStyle w:val="aa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,Cu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="002B2281" w:rsidRPr="0034297F">
        <w:rPr>
          <w:rFonts w:ascii="Times New Roman" w:hAnsi="Times New Roman" w:cs="Times New Roman"/>
          <w:i/>
          <w:sz w:val="24"/>
          <w:szCs w:val="24"/>
          <w:lang w:val="en-US"/>
        </w:rPr>
        <w:t>schimbarea</w:t>
      </w:r>
      <w:proofErr w:type="spellEnd"/>
      <w:r w:rsidR="002B2281" w:rsidRPr="003429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2B2281" w:rsidRPr="0034297F">
        <w:rPr>
          <w:rFonts w:ascii="Times New Roman" w:hAnsi="Times New Roman" w:cs="Times New Roman"/>
          <w:i/>
          <w:sz w:val="24"/>
          <w:szCs w:val="24"/>
          <w:lang w:val="en-US"/>
        </w:rPr>
        <w:t>categoriei</w:t>
      </w:r>
      <w:proofErr w:type="spellEnd"/>
      <w:r w:rsidR="002B2281" w:rsidRPr="003429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2B2281" w:rsidRPr="0034297F">
        <w:rPr>
          <w:rFonts w:ascii="Times New Roman" w:hAnsi="Times New Roman" w:cs="Times New Roman"/>
          <w:i/>
          <w:sz w:val="24"/>
          <w:szCs w:val="24"/>
          <w:lang w:val="en-US"/>
        </w:rPr>
        <w:t>destinație</w:t>
      </w:r>
      <w:proofErr w:type="spellEnd"/>
    </w:p>
    <w:p w:rsidR="002B2281" w:rsidRPr="0034297F" w:rsidRDefault="002B2281" w:rsidP="002B2281">
      <w:pPr>
        <w:pStyle w:val="aa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proofErr w:type="gramEnd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>unu</w:t>
      </w:r>
      <w:r w:rsidR="00FB34BF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proofErr w:type="spellEnd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>teren</w:t>
      </w:r>
      <w:r w:rsidR="00FB34BF">
        <w:rPr>
          <w:rFonts w:ascii="Times New Roman" w:hAnsi="Times New Roman" w:cs="Times New Roman"/>
          <w:i/>
          <w:sz w:val="24"/>
          <w:szCs w:val="24"/>
          <w:lang w:val="en-US"/>
        </w:rPr>
        <w:t>uri</w:t>
      </w:r>
      <w:proofErr w:type="spellEnd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spellStart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>agricol</w:t>
      </w:r>
      <w:r w:rsidR="00FB34BF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proofErr w:type="spellEnd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>exploatarea</w:t>
      </w:r>
      <w:proofErr w:type="spellEnd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297F">
        <w:rPr>
          <w:rFonts w:ascii="Times New Roman" w:hAnsi="Times New Roman" w:cs="Times New Roman"/>
          <w:i/>
          <w:sz w:val="24"/>
          <w:szCs w:val="24"/>
          <w:lang w:val="ro-RO"/>
        </w:rPr>
        <w:t xml:space="preserve">minieră   </w:t>
      </w:r>
    </w:p>
    <w:p w:rsidR="002B2281" w:rsidRPr="0034297F" w:rsidRDefault="002B2281" w:rsidP="002B2281">
      <w:pPr>
        <w:pStyle w:val="aa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297F">
        <w:rPr>
          <w:rFonts w:ascii="Times New Roman" w:hAnsi="Times New Roman" w:cs="Times New Roman"/>
          <w:i/>
          <w:sz w:val="24"/>
          <w:szCs w:val="24"/>
          <w:lang w:val="ro-RO"/>
        </w:rPr>
        <w:t xml:space="preserve">a </w:t>
      </w:r>
      <w:proofErr w:type="spellStart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>zăcămîntului</w:t>
      </w:r>
      <w:proofErr w:type="spellEnd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>nisip</w:t>
      </w:r>
      <w:proofErr w:type="spellEnd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spellStart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spellStart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>construcții</w:t>
      </w:r>
      <w:proofErr w:type="spellEnd"/>
      <w:r w:rsidRPr="003429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’’.</w:t>
      </w:r>
    </w:p>
    <w:p w:rsidR="002B2281" w:rsidRPr="0034297F" w:rsidRDefault="002B2281" w:rsidP="002B2281">
      <w:pPr>
        <w:pStyle w:val="aa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B2281" w:rsidRPr="00D914D2" w:rsidRDefault="008E3C71" w:rsidP="00D914D2">
      <w:pPr>
        <w:pStyle w:val="aa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D914D2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În baza demersului  din </w:t>
      </w:r>
      <w:r w:rsidR="00C15411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441FB7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a SRL ,,</w:t>
      </w:r>
      <w:r w:rsidR="00A95596" w:rsidRPr="00D914D2">
        <w:rPr>
          <w:rFonts w:ascii="Times New Roman" w:hAnsi="Times New Roman" w:cs="Times New Roman"/>
          <w:sz w:val="24"/>
          <w:szCs w:val="24"/>
          <w:lang w:val="ro-RO"/>
        </w:rPr>
        <w:t>LA HOTAR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’’ (IDNO-cod fiscal </w:t>
      </w:r>
      <w:r w:rsidR="00137DBE" w:rsidRPr="00D914D2">
        <w:rPr>
          <w:rFonts w:ascii="Times New Roman" w:hAnsi="Times New Roman" w:cs="Times New Roman"/>
          <w:sz w:val="24"/>
          <w:szCs w:val="24"/>
          <w:lang w:val="ro-RO"/>
        </w:rPr>
        <w:t>1011606002618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>) privind schimbarea  categoriei  destinației  a  terenu</w:t>
      </w:r>
      <w:r w:rsidR="00A95596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rilor </w:t>
      </w:r>
      <w:r w:rsidR="00A95596" w:rsidRPr="00D914D2">
        <w:rPr>
          <w:b/>
          <w:iCs/>
          <w:sz w:val="24"/>
          <w:szCs w:val="24"/>
          <w:lang w:val="ro-RO"/>
        </w:rPr>
        <w:t xml:space="preserve"> </w:t>
      </w:r>
      <w:r w:rsidR="00A95596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cadastrale </w:t>
      </w:r>
      <w:r w:rsidR="00FB34BF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6443308405 cu suprafața de </w:t>
      </w:r>
      <w:r w:rsidR="00A95596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1 ha si 6443308406 cu suprafața de  1.246</w:t>
      </w:r>
      <w:r w:rsidR="00FB34BF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6</w:t>
      </w:r>
      <w:r w:rsidR="00A95596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ha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 proprietate privată a  SRL ,,</w:t>
      </w:r>
      <w:r w:rsidR="00A95596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LA HOTAR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>’’, în  vederea exploatării zăcămîntului de   nisip  pentru  construcții .</w:t>
      </w:r>
    </w:p>
    <w:p w:rsidR="002B2281" w:rsidRPr="00D914D2" w:rsidRDefault="002B2281" w:rsidP="00D914D2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      În temeiul prevederilor art.14 alin (1) și (2) lit.e ) al Legii nr.436 din 28.12.2006 privind administrația publică locală, art.art.2,9,10,71 ale Codului funciar nr.828 din 25.12.1991, art.14 al Legii privind prețul normativ și modul de vînzare-cumpărare a pămîntului nr.1308 din 25.07.1997 și Regulamentului  cu privire la modul de atribuire, modificare a destinației și schimbul terenurilor (Anexa nr.1 la Hotărîrea Guvernului nr.1170 din 25 octombrie 2016), în conformitate cu Legea RM nr.24 din 04.03.2016 privind modificarea  și completarea unor acte legislative</w:t>
      </w:r>
      <w:r w:rsidRPr="00D914D2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Consiliul </w:t>
      </w:r>
      <w:r w:rsidR="00A95596" w:rsidRPr="00D914D2">
        <w:rPr>
          <w:rFonts w:ascii="Times New Roman" w:hAnsi="Times New Roman" w:cs="Times New Roman"/>
          <w:i/>
          <w:sz w:val="24"/>
          <w:szCs w:val="24"/>
          <w:lang w:val="ro-RO"/>
        </w:rPr>
        <w:t>Comunal</w:t>
      </w:r>
      <w:r w:rsidRPr="00D914D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A95596" w:rsidRPr="00D914D2">
        <w:rPr>
          <w:rFonts w:ascii="Times New Roman" w:hAnsi="Times New Roman" w:cs="Times New Roman"/>
          <w:i/>
          <w:sz w:val="24"/>
          <w:szCs w:val="24"/>
          <w:lang w:val="ro-RO"/>
        </w:rPr>
        <w:t>Jora de Mijloc</w:t>
      </w:r>
      <w:r w:rsidRPr="00D914D2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 </w:t>
      </w:r>
      <w:r w:rsidRPr="00D914D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2B2281" w:rsidRPr="0034297F" w:rsidRDefault="002B2281" w:rsidP="002B2281">
      <w:pPr>
        <w:pStyle w:val="aa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B2281" w:rsidRPr="00D914D2" w:rsidRDefault="002B2281" w:rsidP="00D914D2">
      <w:pPr>
        <w:pStyle w:val="aa"/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14D2">
        <w:rPr>
          <w:rFonts w:ascii="Times New Roman" w:hAnsi="Times New Roman" w:cs="Times New Roman"/>
          <w:sz w:val="24"/>
          <w:szCs w:val="24"/>
          <w:lang w:val="ro-RO"/>
        </w:rPr>
        <w:t>Se schimbă  categoria de destinație  a  terenu</w:t>
      </w:r>
      <w:r w:rsidR="00A95596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rilor </w:t>
      </w:r>
      <w:r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agricol</w:t>
      </w:r>
      <w:r w:rsidR="00A95596" w:rsidRPr="00D914D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D914D2">
        <w:rPr>
          <w:rFonts w:ascii="Times New Roman" w:hAnsi="Times New Roman" w:cs="Times New Roman"/>
          <w:sz w:val="24"/>
          <w:szCs w:val="24"/>
          <w:lang w:val="ro-RO"/>
        </w:rPr>
        <w:t>, cu</w:t>
      </w:r>
      <w:r w:rsidR="008E3C71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cod</w:t>
      </w:r>
      <w:r w:rsidR="00A95596" w:rsidRPr="00D914D2">
        <w:rPr>
          <w:rFonts w:ascii="Times New Roman" w:hAnsi="Times New Roman" w:cs="Times New Roman"/>
          <w:sz w:val="24"/>
          <w:szCs w:val="24"/>
          <w:lang w:val="ro-RO"/>
        </w:rPr>
        <w:t>uri</w:t>
      </w:r>
      <w:r w:rsidR="008E3C71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A95596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cadastrale</w:t>
      </w:r>
      <w:r w:rsid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644330840</w:t>
      </w:r>
      <w:r w:rsidR="003914A8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7</w:t>
      </w:r>
      <w:r w:rsid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cu </w:t>
      </w:r>
      <w:r w:rsidR="00A95596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suprafața de  1</w:t>
      </w:r>
      <w:r w:rsidR="003914A8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,2466</w:t>
      </w:r>
      <w:r w:rsidR="00A95596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ha si 644330840</w:t>
      </w:r>
      <w:r w:rsidR="003914A8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8</w:t>
      </w:r>
      <w:r w:rsidR="00A95596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cu suprafața de  1.246</w:t>
      </w:r>
      <w:r w:rsidR="003914A8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4</w:t>
      </w:r>
      <w:r w:rsidR="00A95596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ha</w:t>
      </w:r>
      <w:r w:rsidR="00BF2E3C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, proprietate   privată   a </w:t>
      </w:r>
      <w:r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Societății</w:t>
      </w:r>
      <w:r w:rsidR="00BF2E3C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cu Răspundere Limitată  ,,</w:t>
      </w:r>
      <w:r w:rsidR="00A95596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LA HOTAR</w:t>
      </w:r>
      <w:r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” amplasat în extravilanul </w:t>
      </w:r>
      <w:r w:rsidR="00A95596" w:rsidRPr="00D914D2">
        <w:rPr>
          <w:rFonts w:ascii="Times New Roman" w:hAnsi="Times New Roman" w:cs="Times New Roman"/>
          <w:sz w:val="24"/>
          <w:szCs w:val="24"/>
          <w:lang w:val="ro-RO"/>
        </w:rPr>
        <w:t>comunei Jora de Mijloc</w:t>
      </w:r>
      <w:r w:rsidRPr="00D914D2">
        <w:rPr>
          <w:rFonts w:ascii="Times New Roman" w:hAnsi="Times New Roman" w:cs="Times New Roman"/>
          <w:sz w:val="24"/>
          <w:szCs w:val="24"/>
          <w:lang w:val="ro-RO"/>
        </w:rPr>
        <w:t>,  raionul Orhei,</w:t>
      </w:r>
      <w:r w:rsidR="0034297F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914D2">
        <w:rPr>
          <w:rFonts w:ascii="Times New Roman" w:hAnsi="Times New Roman" w:cs="Times New Roman"/>
          <w:sz w:val="24"/>
          <w:szCs w:val="24"/>
          <w:lang w:val="ro-RO"/>
        </w:rPr>
        <w:t>cu  trecerea în   categoria  de terenuri</w:t>
      </w:r>
      <w:r w:rsidR="0034297F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D914D2">
        <w:rPr>
          <w:rFonts w:ascii="Times New Roman" w:hAnsi="Times New Roman" w:cs="Times New Roman"/>
          <w:sz w:val="24"/>
          <w:szCs w:val="24"/>
          <w:lang w:val="ro-RO"/>
        </w:rPr>
        <w:t>destinate industriei, în  scopul  extragerii zăcămîntului de nisip  pentru construcții  .</w:t>
      </w:r>
    </w:p>
    <w:p w:rsidR="00D914D2" w:rsidRDefault="002B2281" w:rsidP="00D914D2">
      <w:pPr>
        <w:pStyle w:val="aa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14D2">
        <w:rPr>
          <w:rFonts w:ascii="Times New Roman" w:hAnsi="Times New Roman" w:cs="Times New Roman"/>
          <w:sz w:val="24"/>
          <w:szCs w:val="24"/>
          <w:lang w:val="ro-RO"/>
        </w:rPr>
        <w:t>2.  Societatea cu Răspundere Limitată ,,</w:t>
      </w:r>
      <w:r w:rsidR="00A95596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LA HOTAR</w:t>
      </w:r>
      <w:r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”  care v-a folosi terenurile pentru extragerea   </w:t>
      </w:r>
      <w:r w:rsidR="00D914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914D2" w:rsidRDefault="00D914D2" w:rsidP="00D914D2">
      <w:pPr>
        <w:pStyle w:val="aa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zăcămîntului de   nisip  pentru construcții,  v-a obține  în condițiile  prevăzute </w:t>
      </w:r>
      <w:r>
        <w:rPr>
          <w:rFonts w:ascii="Times New Roman" w:hAnsi="Times New Roman" w:cs="Times New Roman"/>
          <w:sz w:val="24"/>
          <w:szCs w:val="24"/>
          <w:lang w:val="ro-RO"/>
        </w:rPr>
        <w:t>de legislați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914D2" w:rsidRDefault="00D914D2" w:rsidP="00D914D2">
      <w:pPr>
        <w:pStyle w:val="aa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>vigoare, certificatul de descărcare de sarcină arheologică și avizul  pozitiv</w:t>
      </w:r>
      <w:r w:rsidR="00FB34BF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al Expertizei Ecologice </w:t>
      </w:r>
      <w:r w:rsidR="0034297F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914D2" w:rsidRDefault="00D914D2" w:rsidP="00D914D2">
      <w:pPr>
        <w:pStyle w:val="aa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>de Stat la proiectul de execuție,  precum și v-a organiza</w:t>
      </w:r>
      <w:r w:rsidR="00FB34BF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descopertarea stratului fertil de sol de pe </w:t>
      </w:r>
      <w:r w:rsidR="0034297F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B2281" w:rsidRPr="00D914D2" w:rsidRDefault="00D914D2" w:rsidP="00D914D2">
      <w:pPr>
        <w:pStyle w:val="aa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>suprafețele menționate.</w:t>
      </w:r>
    </w:p>
    <w:p w:rsidR="002B2281" w:rsidRPr="00D914D2" w:rsidRDefault="002B2281" w:rsidP="00D914D2">
      <w:pPr>
        <w:pStyle w:val="aa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14D2">
        <w:rPr>
          <w:rFonts w:ascii="Times New Roman" w:hAnsi="Times New Roman" w:cs="Times New Roman"/>
          <w:sz w:val="24"/>
          <w:szCs w:val="24"/>
          <w:lang w:val="ro-RO"/>
        </w:rPr>
        <w:t>Societatea cu Răspundere Limitată,,</w:t>
      </w:r>
      <w:r w:rsidR="00A95596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LA HOTAR</w:t>
      </w:r>
      <w:r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” a restituit pierderile  producției </w:t>
      </w:r>
      <w:r w:rsidR="00D914D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gricole în  legătură  cu  excluderea  din  circuitul  agricol  </w:t>
      </w:r>
      <w:r w:rsidR="00137DBE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a  terenurilor  agricole, cu coduri </w:t>
      </w:r>
      <w:r w:rsidR="00137DBE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cadastrale 644330840</w:t>
      </w:r>
      <w:r w:rsidR="003914A8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7</w:t>
      </w:r>
      <w:r w:rsidR="00137DBE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cu suprafața de  1</w:t>
      </w:r>
      <w:r w:rsidR="003914A8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,2466</w:t>
      </w:r>
      <w:r w:rsidR="00137DBE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ha si 644330840</w:t>
      </w:r>
      <w:r w:rsidR="003914A8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8</w:t>
      </w:r>
      <w:r w:rsidR="00137DBE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cu suprafața de  1.246</w:t>
      </w:r>
      <w:r w:rsidR="003914A8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4</w:t>
      </w:r>
      <w:r w:rsidR="00137DBE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ha</w:t>
      </w:r>
      <w:r w:rsidR="00137DBE" w:rsidRPr="00D914D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E3C71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,  în sumă  de  </w:t>
      </w:r>
      <w:r w:rsidR="00137DBE" w:rsidRPr="00D914D2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D63C38">
        <w:rPr>
          <w:rFonts w:ascii="Times New Roman" w:hAnsi="Times New Roman" w:cs="Times New Roman"/>
          <w:b/>
          <w:sz w:val="24"/>
          <w:szCs w:val="24"/>
          <w:lang w:val="ro-RO"/>
        </w:rPr>
        <w:t>50</w:t>
      </w:r>
      <w:r w:rsidR="00137DBE" w:rsidRPr="00D914D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63C38">
        <w:rPr>
          <w:rFonts w:ascii="Times New Roman" w:hAnsi="Times New Roman" w:cs="Times New Roman"/>
          <w:b/>
          <w:sz w:val="24"/>
          <w:szCs w:val="24"/>
          <w:lang w:val="ro-RO"/>
        </w:rPr>
        <w:t>856</w:t>
      </w:r>
      <w:r w:rsidRPr="00D914D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 </w:t>
      </w:r>
      <w:r w:rsidR="003914A8">
        <w:rPr>
          <w:rFonts w:ascii="Times New Roman" w:hAnsi="Times New Roman" w:cs="Times New Roman"/>
          <w:b/>
          <w:sz w:val="24"/>
          <w:szCs w:val="24"/>
          <w:lang w:val="ro-RO"/>
        </w:rPr>
        <w:t>93</w:t>
      </w:r>
      <w:r w:rsidRPr="00D914D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bani</w:t>
      </w:r>
      <w:r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2B2281" w:rsidRPr="00D914D2" w:rsidRDefault="00D914D2" w:rsidP="00D914D2">
      <w:pPr>
        <w:pStyle w:val="aa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>4.  Societatea cu Răspundere Limitată,,</w:t>
      </w:r>
      <w:r w:rsidR="00A95596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LA HOTAR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”  este obligată: </w:t>
      </w:r>
    </w:p>
    <w:p w:rsidR="00D914D2" w:rsidRDefault="00137DBE" w:rsidP="00D914D2">
      <w:pPr>
        <w:pStyle w:val="aa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D914D2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-  să returneze în circuitul agricol </w:t>
      </w:r>
      <w:r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a  terenurilor  agricole, cu coduri </w:t>
      </w:r>
      <w:r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cadastrale 644330840</w:t>
      </w:r>
      <w:r w:rsidR="003914A8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7</w:t>
      </w:r>
      <w:r w:rsidR="00FB34BF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</w:t>
      </w:r>
      <w:r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cu </w:t>
      </w:r>
      <w:r w:rsid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</w:t>
      </w:r>
    </w:p>
    <w:p w:rsidR="00D914D2" w:rsidRDefault="00D914D2" w:rsidP="00D914D2">
      <w:pPr>
        <w:pStyle w:val="aa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         </w:t>
      </w:r>
      <w:r w:rsidR="00137DBE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suprafața de  1</w:t>
      </w:r>
      <w:r w:rsidR="003914A8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,2466</w:t>
      </w:r>
      <w:r w:rsidR="00137DBE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ha si 644330840</w:t>
      </w:r>
      <w:r w:rsidR="003914A8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8</w:t>
      </w:r>
      <w:r w:rsidR="00137DBE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cu suprafața de  1.246</w:t>
      </w:r>
      <w:r w:rsidR="003914A8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4</w:t>
      </w:r>
      <w:r w:rsidR="00137DBE" w:rsidRPr="00D914D2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ha</w:t>
      </w:r>
      <w:r w:rsidR="00137DBE" w:rsidRPr="00D914D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după</w:t>
      </w:r>
      <w:r w:rsidR="00FB34BF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>epuizarea extragerii</w:t>
      </w:r>
      <w:r w:rsidR="00137DBE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B2281" w:rsidRPr="00D914D2" w:rsidRDefault="00D914D2" w:rsidP="00D914D2">
      <w:pPr>
        <w:pStyle w:val="aa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zăcămîntului de nisip pentru construții   </w:t>
      </w:r>
    </w:p>
    <w:p w:rsidR="00D914D2" w:rsidRDefault="002B2281" w:rsidP="00D914D2">
      <w:pPr>
        <w:pStyle w:val="aa"/>
        <w:numPr>
          <w:ilvl w:val="0"/>
          <w:numId w:val="15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14D2">
        <w:rPr>
          <w:rFonts w:ascii="Times New Roman" w:hAnsi="Times New Roman" w:cs="Times New Roman"/>
          <w:sz w:val="24"/>
          <w:szCs w:val="24"/>
          <w:lang w:val="ro-RO"/>
        </w:rPr>
        <w:t>Oficiul cadastral teritorial Orhei va efectua modificarea documentației cadastrale, la</w:t>
      </w:r>
      <w:r w:rsidR="00FB34BF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cererea </w:t>
      </w:r>
      <w:r w:rsidR="00D914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B2281" w:rsidRPr="00D914D2" w:rsidRDefault="00D914D2" w:rsidP="00D914D2">
      <w:pPr>
        <w:pStyle w:val="aa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>titularului de drept,   în conformitate cu prevederile prezentei decizii.</w:t>
      </w:r>
    </w:p>
    <w:p w:rsidR="00D914D2" w:rsidRDefault="002B2281" w:rsidP="00D914D2">
      <w:pPr>
        <w:pStyle w:val="aa"/>
        <w:numPr>
          <w:ilvl w:val="0"/>
          <w:numId w:val="15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14D2">
        <w:rPr>
          <w:rFonts w:ascii="Times New Roman" w:hAnsi="Times New Roman" w:cs="Times New Roman"/>
          <w:sz w:val="24"/>
          <w:szCs w:val="24"/>
          <w:lang w:val="ro-RO"/>
        </w:rPr>
        <w:t>Controlul executării prezentei decizii se pune în sarcina primarului</w:t>
      </w:r>
      <w:r w:rsidR="00A95596"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914A8">
        <w:rPr>
          <w:rFonts w:ascii="Times New Roman" w:hAnsi="Times New Roman" w:cs="Times New Roman"/>
          <w:sz w:val="24"/>
          <w:szCs w:val="24"/>
          <w:lang w:val="ro-RO"/>
        </w:rPr>
        <w:t>comunei</w:t>
      </w:r>
      <w:r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914A8">
        <w:rPr>
          <w:rFonts w:ascii="Times New Roman" w:hAnsi="Times New Roman" w:cs="Times New Roman"/>
          <w:sz w:val="24"/>
          <w:szCs w:val="24"/>
          <w:lang w:val="ro-RO"/>
        </w:rPr>
        <w:t>LABLIUC Serghei</w:t>
      </w:r>
      <w:r w:rsidRPr="00D914D2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D914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4297F" w:rsidRPr="00D914D2" w:rsidRDefault="00D914D2" w:rsidP="00D914D2">
      <w:pPr>
        <w:pStyle w:val="aa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2B2281" w:rsidRPr="00D914D2">
        <w:rPr>
          <w:rFonts w:ascii="Times New Roman" w:hAnsi="Times New Roman" w:cs="Times New Roman"/>
          <w:sz w:val="24"/>
          <w:szCs w:val="24"/>
          <w:lang w:val="ro-RO"/>
        </w:rPr>
        <w:t>comisiei  de   specialitate  în  probleme  agrare  și  protecția  mediului.</w:t>
      </w:r>
    </w:p>
    <w:p w:rsidR="0034297F" w:rsidRPr="0034297F" w:rsidRDefault="0034297F" w:rsidP="0034297F">
      <w:pPr>
        <w:pStyle w:val="aa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D914D2" w:rsidRPr="0034297F" w:rsidRDefault="002B2281" w:rsidP="002B2281">
      <w:pPr>
        <w:pStyle w:val="aa"/>
        <w:tabs>
          <w:tab w:val="left" w:pos="6154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34297F">
        <w:rPr>
          <w:rFonts w:ascii="Times New Roman" w:hAnsi="Times New Roman" w:cs="Times New Roman"/>
          <w:sz w:val="24"/>
          <w:szCs w:val="24"/>
          <w:lang w:val="ro-RO"/>
        </w:rPr>
        <w:t xml:space="preserve">Președintele   ședinței                                                             </w:t>
      </w:r>
      <w:r w:rsidR="0034297F" w:rsidRPr="0034297F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D914D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15411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</w:p>
    <w:p w:rsidR="0034297F" w:rsidRPr="0034297F" w:rsidRDefault="002B2281" w:rsidP="002B2281">
      <w:pPr>
        <w:pStyle w:val="aa"/>
        <w:rPr>
          <w:rFonts w:ascii="Times New Roman" w:hAnsi="Times New Roman" w:cs="Times New Roman"/>
          <w:sz w:val="24"/>
          <w:szCs w:val="24"/>
          <w:lang w:val="ro-RO"/>
        </w:rPr>
      </w:pPr>
      <w:r w:rsidRPr="0034297F">
        <w:rPr>
          <w:rFonts w:ascii="Times New Roman" w:hAnsi="Times New Roman" w:cs="Times New Roman"/>
          <w:sz w:val="24"/>
          <w:szCs w:val="24"/>
          <w:lang w:val="ro-RO"/>
        </w:rPr>
        <w:t xml:space="preserve">Secretar  </w:t>
      </w:r>
      <w:r w:rsidR="00A95596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Pr="0034297F">
        <w:rPr>
          <w:rFonts w:ascii="Times New Roman" w:hAnsi="Times New Roman" w:cs="Times New Roman"/>
          <w:sz w:val="24"/>
          <w:szCs w:val="24"/>
          <w:lang w:val="ro-RO"/>
        </w:rPr>
        <w:t xml:space="preserve">Consiliului     </w:t>
      </w:r>
      <w:r w:rsidRPr="0034297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4297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4297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4297F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</w:t>
      </w:r>
      <w:r w:rsidR="00A95596">
        <w:rPr>
          <w:rFonts w:ascii="Times New Roman" w:hAnsi="Times New Roman" w:cs="Times New Roman"/>
          <w:sz w:val="24"/>
          <w:szCs w:val="24"/>
          <w:lang w:val="ro-RO"/>
        </w:rPr>
        <w:t xml:space="preserve">          Pantaz Parascovia</w:t>
      </w:r>
    </w:p>
    <w:p w:rsidR="002B2281" w:rsidRPr="0034297F" w:rsidRDefault="0034297F" w:rsidP="002B2281">
      <w:pPr>
        <w:pStyle w:val="aa"/>
        <w:rPr>
          <w:rFonts w:ascii="Times New Roman" w:hAnsi="Times New Roman" w:cs="Times New Roman"/>
          <w:sz w:val="24"/>
          <w:szCs w:val="24"/>
          <w:lang w:val="ro-RO"/>
        </w:rPr>
      </w:pPr>
      <w:r w:rsidRPr="0034297F">
        <w:rPr>
          <w:rFonts w:ascii="Times New Roman" w:hAnsi="Times New Roman" w:cs="Times New Roman"/>
          <w:sz w:val="24"/>
          <w:szCs w:val="24"/>
          <w:lang w:val="ro-RO"/>
        </w:rPr>
        <w:t>AU  VOTAT:      Pentru __</w:t>
      </w:r>
      <w:r w:rsidR="002B2281" w:rsidRPr="0034297F">
        <w:rPr>
          <w:rFonts w:ascii="Times New Roman" w:hAnsi="Times New Roman" w:cs="Times New Roman"/>
          <w:sz w:val="24"/>
          <w:szCs w:val="24"/>
          <w:lang w:val="ro-RO"/>
        </w:rPr>
        <w:t xml:space="preserve">__     </w:t>
      </w:r>
      <w:r w:rsidRPr="0034297F">
        <w:rPr>
          <w:rFonts w:ascii="Times New Roman" w:hAnsi="Times New Roman" w:cs="Times New Roman"/>
          <w:sz w:val="24"/>
          <w:szCs w:val="24"/>
          <w:lang w:val="ro-RO"/>
        </w:rPr>
        <w:t xml:space="preserve">       Contra______                        S-au  abținut ___</w:t>
      </w:r>
      <w:r w:rsidR="002B2281" w:rsidRPr="0034297F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:rsidR="00136F78" w:rsidRPr="0034297F" w:rsidRDefault="00136F78" w:rsidP="00537F21">
      <w:pPr>
        <w:jc w:val="center"/>
        <w:rPr>
          <w:sz w:val="24"/>
          <w:szCs w:val="24"/>
          <w:lang w:val="ro-RO"/>
        </w:rPr>
      </w:pPr>
    </w:p>
    <w:sectPr w:rsidR="00136F78" w:rsidRPr="0034297F" w:rsidSect="00D914D2">
      <w:pgSz w:w="11906" w:h="16838"/>
      <w:pgMar w:top="539" w:right="567" w:bottom="902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C8"/>
    <w:multiLevelType w:val="hybridMultilevel"/>
    <w:tmpl w:val="4C7A6CEA"/>
    <w:lvl w:ilvl="0" w:tplc="4052EB5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</w:lvl>
    <w:lvl w:ilvl="1" w:tplc="4D8206B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D3201D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042BA"/>
    <w:multiLevelType w:val="hybridMultilevel"/>
    <w:tmpl w:val="43B4A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E3BCA"/>
    <w:multiLevelType w:val="hybridMultilevel"/>
    <w:tmpl w:val="4372D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D914E6"/>
    <w:multiLevelType w:val="hybridMultilevel"/>
    <w:tmpl w:val="17CEA4D8"/>
    <w:lvl w:ilvl="0" w:tplc="230604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15649"/>
    <w:multiLevelType w:val="hybridMultilevel"/>
    <w:tmpl w:val="B6A80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2800EE"/>
    <w:multiLevelType w:val="hybridMultilevel"/>
    <w:tmpl w:val="B21A0A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6F541A"/>
    <w:multiLevelType w:val="hybridMultilevel"/>
    <w:tmpl w:val="17CEA4D8"/>
    <w:lvl w:ilvl="0" w:tplc="230604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D335E"/>
    <w:multiLevelType w:val="hybridMultilevel"/>
    <w:tmpl w:val="9BFED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304B28"/>
    <w:multiLevelType w:val="hybridMultilevel"/>
    <w:tmpl w:val="C94E40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21485A"/>
    <w:multiLevelType w:val="hybridMultilevel"/>
    <w:tmpl w:val="17CEA4D8"/>
    <w:lvl w:ilvl="0" w:tplc="230604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226C3"/>
    <w:multiLevelType w:val="hybridMultilevel"/>
    <w:tmpl w:val="779E771C"/>
    <w:lvl w:ilvl="0" w:tplc="714E4B34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7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081"/>
    <w:rsid w:val="00012A51"/>
    <w:rsid w:val="00050D38"/>
    <w:rsid w:val="00060B41"/>
    <w:rsid w:val="00074074"/>
    <w:rsid w:val="00080CD1"/>
    <w:rsid w:val="00080F22"/>
    <w:rsid w:val="00087ACF"/>
    <w:rsid w:val="000B1A9D"/>
    <w:rsid w:val="000C09AB"/>
    <w:rsid w:val="000C1375"/>
    <w:rsid w:val="000F1C72"/>
    <w:rsid w:val="00107FA3"/>
    <w:rsid w:val="00124EA4"/>
    <w:rsid w:val="00136F78"/>
    <w:rsid w:val="00137DBE"/>
    <w:rsid w:val="001433BF"/>
    <w:rsid w:val="001528AD"/>
    <w:rsid w:val="00153608"/>
    <w:rsid w:val="00192E59"/>
    <w:rsid w:val="001D2F9A"/>
    <w:rsid w:val="001D6DC0"/>
    <w:rsid w:val="001E4A4A"/>
    <w:rsid w:val="001F4249"/>
    <w:rsid w:val="00214780"/>
    <w:rsid w:val="00246CC3"/>
    <w:rsid w:val="00253496"/>
    <w:rsid w:val="00253D5F"/>
    <w:rsid w:val="0027312B"/>
    <w:rsid w:val="00296C62"/>
    <w:rsid w:val="002B2281"/>
    <w:rsid w:val="002D3843"/>
    <w:rsid w:val="002D6339"/>
    <w:rsid w:val="002D7FA0"/>
    <w:rsid w:val="002F2E3E"/>
    <w:rsid w:val="00304836"/>
    <w:rsid w:val="003211F3"/>
    <w:rsid w:val="0034297F"/>
    <w:rsid w:val="00352C51"/>
    <w:rsid w:val="0036582C"/>
    <w:rsid w:val="003914A8"/>
    <w:rsid w:val="00395411"/>
    <w:rsid w:val="003B691C"/>
    <w:rsid w:val="0041795F"/>
    <w:rsid w:val="004224DF"/>
    <w:rsid w:val="00431C7B"/>
    <w:rsid w:val="00441FB7"/>
    <w:rsid w:val="00462F51"/>
    <w:rsid w:val="004B23D1"/>
    <w:rsid w:val="004C0AC1"/>
    <w:rsid w:val="004D513F"/>
    <w:rsid w:val="004D5F7C"/>
    <w:rsid w:val="004F5659"/>
    <w:rsid w:val="004F646B"/>
    <w:rsid w:val="004F73F9"/>
    <w:rsid w:val="005063B7"/>
    <w:rsid w:val="005213F6"/>
    <w:rsid w:val="00537F21"/>
    <w:rsid w:val="0054688B"/>
    <w:rsid w:val="005941A9"/>
    <w:rsid w:val="005A6A8E"/>
    <w:rsid w:val="005B5F7C"/>
    <w:rsid w:val="005B62F2"/>
    <w:rsid w:val="005C2C85"/>
    <w:rsid w:val="005C4266"/>
    <w:rsid w:val="005C6E0A"/>
    <w:rsid w:val="005D4666"/>
    <w:rsid w:val="005F3644"/>
    <w:rsid w:val="005F483B"/>
    <w:rsid w:val="00601870"/>
    <w:rsid w:val="00606FD3"/>
    <w:rsid w:val="00611D4D"/>
    <w:rsid w:val="00640C1D"/>
    <w:rsid w:val="00643321"/>
    <w:rsid w:val="00660177"/>
    <w:rsid w:val="00665D91"/>
    <w:rsid w:val="006824C1"/>
    <w:rsid w:val="00703E93"/>
    <w:rsid w:val="00726A5D"/>
    <w:rsid w:val="007505EA"/>
    <w:rsid w:val="00764831"/>
    <w:rsid w:val="007650DC"/>
    <w:rsid w:val="00770273"/>
    <w:rsid w:val="00784736"/>
    <w:rsid w:val="007A0126"/>
    <w:rsid w:val="007C00AC"/>
    <w:rsid w:val="007E5C3C"/>
    <w:rsid w:val="007E712D"/>
    <w:rsid w:val="007F09F9"/>
    <w:rsid w:val="00800E50"/>
    <w:rsid w:val="00801F55"/>
    <w:rsid w:val="00817D68"/>
    <w:rsid w:val="00822CC6"/>
    <w:rsid w:val="00873BBC"/>
    <w:rsid w:val="008A108A"/>
    <w:rsid w:val="008A5BE5"/>
    <w:rsid w:val="008D1C01"/>
    <w:rsid w:val="008D2899"/>
    <w:rsid w:val="008E1160"/>
    <w:rsid w:val="008E3C71"/>
    <w:rsid w:val="00920DF4"/>
    <w:rsid w:val="009A26F9"/>
    <w:rsid w:val="009B4AC0"/>
    <w:rsid w:val="009D7ECB"/>
    <w:rsid w:val="009E02A1"/>
    <w:rsid w:val="009F37E9"/>
    <w:rsid w:val="00A21FB0"/>
    <w:rsid w:val="00A27318"/>
    <w:rsid w:val="00A333CD"/>
    <w:rsid w:val="00A50B44"/>
    <w:rsid w:val="00A95596"/>
    <w:rsid w:val="00AE6CD2"/>
    <w:rsid w:val="00B04DC1"/>
    <w:rsid w:val="00B113D9"/>
    <w:rsid w:val="00B12C80"/>
    <w:rsid w:val="00B17029"/>
    <w:rsid w:val="00B22BA1"/>
    <w:rsid w:val="00B33453"/>
    <w:rsid w:val="00B44166"/>
    <w:rsid w:val="00B657B5"/>
    <w:rsid w:val="00B706F3"/>
    <w:rsid w:val="00B7640A"/>
    <w:rsid w:val="00B82432"/>
    <w:rsid w:val="00B83859"/>
    <w:rsid w:val="00B906D3"/>
    <w:rsid w:val="00B96BF9"/>
    <w:rsid w:val="00BA693B"/>
    <w:rsid w:val="00BF2E3C"/>
    <w:rsid w:val="00C07385"/>
    <w:rsid w:val="00C15411"/>
    <w:rsid w:val="00C166B3"/>
    <w:rsid w:val="00C43CEF"/>
    <w:rsid w:val="00C444E0"/>
    <w:rsid w:val="00C56751"/>
    <w:rsid w:val="00CA1542"/>
    <w:rsid w:val="00CC6E27"/>
    <w:rsid w:val="00CD51CF"/>
    <w:rsid w:val="00CE2565"/>
    <w:rsid w:val="00CE4443"/>
    <w:rsid w:val="00D03777"/>
    <w:rsid w:val="00D1462D"/>
    <w:rsid w:val="00D45D1A"/>
    <w:rsid w:val="00D53B6A"/>
    <w:rsid w:val="00D63C38"/>
    <w:rsid w:val="00D66619"/>
    <w:rsid w:val="00D703E3"/>
    <w:rsid w:val="00D72C6C"/>
    <w:rsid w:val="00D914D2"/>
    <w:rsid w:val="00DD0A3E"/>
    <w:rsid w:val="00DD599A"/>
    <w:rsid w:val="00DF1D6E"/>
    <w:rsid w:val="00E14009"/>
    <w:rsid w:val="00E2790B"/>
    <w:rsid w:val="00E40081"/>
    <w:rsid w:val="00E636EF"/>
    <w:rsid w:val="00E70AB9"/>
    <w:rsid w:val="00E960B8"/>
    <w:rsid w:val="00EA1D63"/>
    <w:rsid w:val="00EB51F0"/>
    <w:rsid w:val="00EB5469"/>
    <w:rsid w:val="00EB752A"/>
    <w:rsid w:val="00EC4312"/>
    <w:rsid w:val="00EE14D2"/>
    <w:rsid w:val="00EE47FB"/>
    <w:rsid w:val="00EF221B"/>
    <w:rsid w:val="00EF638C"/>
    <w:rsid w:val="00EF7A01"/>
    <w:rsid w:val="00F141AB"/>
    <w:rsid w:val="00F22B55"/>
    <w:rsid w:val="00F77217"/>
    <w:rsid w:val="00F8340B"/>
    <w:rsid w:val="00F93B05"/>
    <w:rsid w:val="00FA488C"/>
    <w:rsid w:val="00FB34BF"/>
    <w:rsid w:val="00FD4E32"/>
    <w:rsid w:val="00FE7870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D03777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D037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03777"/>
    <w:rPr>
      <w:b/>
      <w:bCs/>
    </w:rPr>
  </w:style>
  <w:style w:type="character" w:customStyle="1" w:styleId="a9">
    <w:name w:val="Без интервала Знак"/>
    <w:basedOn w:val="a0"/>
    <w:link w:val="aa"/>
    <w:uiPriority w:val="1"/>
    <w:locked/>
    <w:rsid w:val="002B2281"/>
    <w:rPr>
      <w:rFonts w:eastAsiaTheme="minorEastAsia"/>
      <w:lang w:eastAsia="ru-RU"/>
    </w:rPr>
  </w:style>
  <w:style w:type="paragraph" w:styleId="aa">
    <w:name w:val="No Spacing"/>
    <w:link w:val="a9"/>
    <w:uiPriority w:val="1"/>
    <w:qFormat/>
    <w:rsid w:val="002B228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5CDFE-C6B7-4133-998C-041892CA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Администратор</cp:lastModifiedBy>
  <cp:revision>9</cp:revision>
  <cp:lastPrinted>2017-05-31T13:56:00Z</cp:lastPrinted>
  <dcterms:created xsi:type="dcterms:W3CDTF">2018-04-02T09:20:00Z</dcterms:created>
  <dcterms:modified xsi:type="dcterms:W3CDTF">2020-05-08T09:13:00Z</dcterms:modified>
</cp:coreProperties>
</file>