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B3" w:rsidRPr="006E4C55" w:rsidRDefault="005403B3">
      <w:pPr>
        <w:rPr>
          <w:rFonts w:eastAsia="KaiTi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b/>
          <w:bCs/>
          <w:sz w:val="24"/>
          <w:szCs w:val="24"/>
          <w:lang w:val="ro-RO" w:eastAsia="ru-RU"/>
        </w:rPr>
      </w:pPr>
    </w:p>
    <w:p w:rsidR="005403B3" w:rsidRPr="006E4C55" w:rsidRDefault="005403B3" w:rsidP="005403B3">
      <w:pPr>
        <w:rPr>
          <w:rFonts w:eastAsia="KaiTi"/>
          <w:sz w:val="24"/>
          <w:szCs w:val="24"/>
          <w:lang w:val="ro-RO"/>
        </w:rPr>
      </w:pPr>
    </w:p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403B3" w:rsidRPr="006E4C55" w:rsidTr="00B869C3">
        <w:trPr>
          <w:trHeight w:val="261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03B3" w:rsidRPr="006E4C55" w:rsidRDefault="005403B3" w:rsidP="00B869C3">
            <w:pPr>
              <w:rPr>
                <w:rFonts w:eastAsia="KaiTi"/>
                <w:b/>
                <w:shadow/>
                <w:sz w:val="24"/>
                <w:szCs w:val="24"/>
                <w:lang w:val="ro-RO"/>
              </w:rPr>
            </w:pP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shadow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hadow/>
                <w:sz w:val="24"/>
                <w:szCs w:val="24"/>
                <w:lang w:val="ro-RO"/>
              </w:rPr>
              <w:t>REPUBLICA MOLDOVA</w:t>
            </w: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shadow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caps/>
                <w:shadow/>
                <w:sz w:val="24"/>
                <w:szCs w:val="24"/>
                <w:lang w:val="ro-RO"/>
              </w:rPr>
              <w:t>Raional Orhei</w:t>
            </w:r>
          </w:p>
          <w:p w:rsidR="005403B3" w:rsidRPr="006E4C55" w:rsidRDefault="005403B3" w:rsidP="00B869C3">
            <w:pPr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hadow/>
                <w:sz w:val="24"/>
                <w:szCs w:val="24"/>
                <w:lang w:val="ro-RO"/>
              </w:rPr>
              <w:t xml:space="preserve">               CONSILIUL COMUNAL</w:t>
            </w: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shadow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caps/>
                <w:shadow/>
                <w:sz w:val="24"/>
                <w:szCs w:val="24"/>
                <w:lang w:val="ro-RO"/>
              </w:rPr>
              <w:t>Jora de Mijloc</w:t>
            </w:r>
          </w:p>
          <w:p w:rsidR="005403B3" w:rsidRPr="006E4C55" w:rsidRDefault="005403B3" w:rsidP="00B869C3">
            <w:pPr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noProof/>
                <w:sz w:val="24"/>
                <w:szCs w:val="24"/>
                <w:lang w:val="ro-RO"/>
              </w:rPr>
              <w:t xml:space="preserve">         MD 3534 com. Jora de Mijloc</w:t>
            </w: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noProof/>
                <w:sz w:val="24"/>
                <w:szCs w:val="24"/>
                <w:lang w:val="ro-RO"/>
              </w:rPr>
              <w:t>Tel. (235)-69-3-13, 69-2-36</w:t>
            </w:r>
          </w:p>
          <w:p w:rsidR="005403B3" w:rsidRPr="006E4C55" w:rsidRDefault="005403B3" w:rsidP="00B869C3">
            <w:pPr>
              <w:spacing w:after="200" w:line="276" w:lineRule="auto"/>
              <w:jc w:val="center"/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noProof/>
                <w:sz w:val="24"/>
                <w:szCs w:val="24"/>
                <w:lang w:val="ro-RO"/>
              </w:rPr>
              <w:t xml:space="preserve">C/f 1007601001684           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03B3" w:rsidRPr="006E4C55" w:rsidRDefault="005403B3" w:rsidP="00B869C3">
            <w:pPr>
              <w:jc w:val="center"/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</w:p>
          <w:p w:rsidR="005403B3" w:rsidRPr="006E4C55" w:rsidRDefault="005403B3" w:rsidP="00B869C3">
            <w:pPr>
              <w:spacing w:after="200"/>
              <w:jc w:val="center"/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noProof/>
                <w:sz w:val="24"/>
                <w:szCs w:val="24"/>
                <w:lang w:val="ro-RO"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3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03B3" w:rsidRPr="006E4C55" w:rsidRDefault="005403B3" w:rsidP="00B869C3">
            <w:pPr>
              <w:jc w:val="center"/>
              <w:rPr>
                <w:rFonts w:eastAsia="KaiTi"/>
                <w:b/>
                <w:shadow/>
                <w:noProof/>
                <w:sz w:val="24"/>
                <w:szCs w:val="24"/>
                <w:lang w:val="ro-RO"/>
              </w:rPr>
            </w:pP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shadow/>
                <w:noProof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03B3" w:rsidRPr="006E4C55" w:rsidRDefault="005403B3" w:rsidP="00B869C3">
            <w:pPr>
              <w:rPr>
                <w:rFonts w:eastAsia="KaiTi"/>
                <w:b/>
                <w:shadow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hadow/>
                <w:sz w:val="24"/>
                <w:szCs w:val="24"/>
                <w:lang w:val="ro-RO"/>
              </w:rPr>
              <w:t xml:space="preserve">               ОРХЕЙСКИЙ РАЙОН</w:t>
            </w:r>
          </w:p>
          <w:p w:rsidR="005403B3" w:rsidRPr="006E4C55" w:rsidRDefault="005403B3" w:rsidP="00B869C3">
            <w:pPr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hadow/>
                <w:sz w:val="24"/>
                <w:szCs w:val="24"/>
                <w:lang w:val="ro-RO"/>
              </w:rPr>
              <w:t xml:space="preserve">            КОММУНАЛЬНЫЙ СОВЕТ ЖОРА ДЕ МИЖЛОК</w:t>
            </w:r>
          </w:p>
          <w:p w:rsidR="005403B3" w:rsidRPr="006E4C55" w:rsidRDefault="005403B3" w:rsidP="00B869C3">
            <w:pPr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z w:val="24"/>
                <w:szCs w:val="24"/>
                <w:lang w:val="ro-RO"/>
              </w:rPr>
              <w:t>МД 3534 ком. Жора де Мижлок</w:t>
            </w:r>
          </w:p>
          <w:p w:rsidR="005403B3" w:rsidRPr="006E4C55" w:rsidRDefault="005403B3" w:rsidP="00B869C3">
            <w:pPr>
              <w:jc w:val="center"/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z w:val="24"/>
                <w:szCs w:val="24"/>
                <w:lang w:val="ro-RO"/>
              </w:rPr>
              <w:t>Тел. (235)-55-1-36, 55-2-36</w:t>
            </w:r>
          </w:p>
          <w:p w:rsidR="005403B3" w:rsidRPr="006E4C55" w:rsidRDefault="005403B3" w:rsidP="00B869C3">
            <w:pPr>
              <w:spacing w:after="200" w:line="276" w:lineRule="auto"/>
              <w:jc w:val="center"/>
              <w:rPr>
                <w:rFonts w:eastAsia="KaiTi"/>
                <w:b/>
                <w:noProof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z w:val="24"/>
                <w:szCs w:val="24"/>
                <w:lang w:val="ro-RO"/>
              </w:rPr>
              <w:t xml:space="preserve">К/ф </w:t>
            </w:r>
            <w:r w:rsidRPr="006E4C55">
              <w:rPr>
                <w:rFonts w:eastAsia="KaiTi"/>
                <w:b/>
                <w:noProof/>
                <w:sz w:val="24"/>
                <w:szCs w:val="24"/>
                <w:lang w:val="ro-RO"/>
              </w:rPr>
              <w:t>1007601001684</w:t>
            </w:r>
          </w:p>
        </w:tc>
      </w:tr>
    </w:tbl>
    <w:p w:rsidR="005403B3" w:rsidRPr="006E4C55" w:rsidRDefault="005403B3" w:rsidP="005403B3">
      <w:pPr>
        <w:rPr>
          <w:rFonts w:eastAsia="KaiTi"/>
          <w:sz w:val="24"/>
          <w:szCs w:val="24"/>
          <w:lang w:val="ro-RO"/>
        </w:rPr>
      </w:pPr>
      <w:r w:rsidRPr="006E4C55">
        <w:rPr>
          <w:rFonts w:eastAsia="KaiTi"/>
          <w:sz w:val="24"/>
          <w:szCs w:val="24"/>
          <w:lang w:val="ro-RO"/>
        </w:rPr>
        <w:t xml:space="preserve">                                                       D E C I Z I E  nr. ___/_____ </w:t>
      </w:r>
    </w:p>
    <w:p w:rsidR="005403B3" w:rsidRPr="006E4C55" w:rsidRDefault="005403B3" w:rsidP="005403B3">
      <w:pPr>
        <w:rPr>
          <w:rFonts w:eastAsia="KaiTi"/>
          <w:b/>
          <w:bCs/>
          <w:sz w:val="24"/>
          <w:szCs w:val="24"/>
          <w:lang w:val="ro-RO" w:eastAsia="ru-RU"/>
        </w:rPr>
      </w:pPr>
      <w:r w:rsidRPr="006E4C55">
        <w:rPr>
          <w:rFonts w:eastAsia="KaiTi"/>
          <w:sz w:val="24"/>
          <w:szCs w:val="24"/>
          <w:lang w:val="ro-RO"/>
        </w:rPr>
        <w:t xml:space="preserve">                                                        din  19.11.2020</w:t>
      </w:r>
    </w:p>
    <w:p w:rsidR="005403B3" w:rsidRPr="006E4C55" w:rsidRDefault="005403B3" w:rsidP="005403B3">
      <w:pPr>
        <w:rPr>
          <w:rFonts w:eastAsia="KaiTi"/>
          <w:b/>
          <w:bCs/>
          <w:sz w:val="24"/>
          <w:szCs w:val="24"/>
          <w:lang w:val="ro-RO" w:eastAsia="ru-RU"/>
        </w:rPr>
      </w:pPr>
    </w:p>
    <w:p w:rsidR="005403B3" w:rsidRPr="006E4C55" w:rsidRDefault="005403B3" w:rsidP="005403B3">
      <w:pPr>
        <w:rPr>
          <w:rFonts w:eastAsia="KaiTi"/>
          <w:b/>
          <w:bCs/>
          <w:sz w:val="24"/>
          <w:szCs w:val="24"/>
          <w:lang w:val="ro-RO" w:eastAsia="ru-RU"/>
        </w:rPr>
      </w:pPr>
    </w:p>
    <w:p w:rsidR="005403B3" w:rsidRPr="006E4C55" w:rsidRDefault="005403B3" w:rsidP="005403B3">
      <w:pPr>
        <w:rPr>
          <w:rFonts w:eastAsia="KaiTi"/>
          <w:sz w:val="24"/>
          <w:szCs w:val="24"/>
          <w:lang w:val="ro-RO" w:eastAsia="ru-RU"/>
        </w:rPr>
      </w:pPr>
    </w:p>
    <w:p w:rsidR="005403B3" w:rsidRPr="006E4C55" w:rsidRDefault="005403B3" w:rsidP="005403B3">
      <w:pPr>
        <w:rPr>
          <w:rFonts w:eastAsia="KaiTi"/>
          <w:sz w:val="24"/>
          <w:szCs w:val="24"/>
          <w:lang w:val="ro-RO"/>
        </w:rPr>
      </w:pPr>
      <w:r w:rsidRPr="006E4C55">
        <w:rPr>
          <w:rFonts w:eastAsia="KaiTi"/>
          <w:sz w:val="24"/>
          <w:szCs w:val="24"/>
          <w:lang w:val="ro-RO"/>
        </w:rPr>
        <w:t>Cu privire la aprobarea şi punerea</w:t>
      </w:r>
      <w:r w:rsidRPr="006E4C55">
        <w:rPr>
          <w:rFonts w:eastAsia="KaiTi"/>
          <w:sz w:val="24"/>
          <w:szCs w:val="24"/>
          <w:lang w:val="ro-RO"/>
        </w:rPr>
        <w:br/>
        <w:t>în aplicare a taxelor de salubrizare</w:t>
      </w:r>
    </w:p>
    <w:p w:rsidR="005403B3" w:rsidRPr="006E4C55" w:rsidRDefault="005403B3" w:rsidP="00743820">
      <w:pPr>
        <w:rPr>
          <w:rFonts w:eastAsia="KaiTi"/>
          <w:color w:val="000000"/>
          <w:sz w:val="24"/>
          <w:szCs w:val="24"/>
          <w:lang w:val="ro-RO"/>
        </w:rPr>
      </w:pPr>
      <w:r w:rsidRPr="006E4C55">
        <w:rPr>
          <w:rFonts w:eastAsia="KaiTi"/>
          <w:sz w:val="24"/>
          <w:szCs w:val="24"/>
          <w:lang w:val="ro-RO"/>
        </w:rPr>
        <w:t>pentru anul 2020</w:t>
      </w:r>
    </w:p>
    <w:p w:rsidR="005403B3" w:rsidRPr="006E4C55" w:rsidRDefault="005403B3" w:rsidP="005403B3">
      <w:pPr>
        <w:ind w:firstLine="708"/>
        <w:jc w:val="both"/>
        <w:rPr>
          <w:rFonts w:eastAsia="KaiTi"/>
          <w:bCs/>
          <w:sz w:val="24"/>
          <w:szCs w:val="24"/>
          <w:lang w:val="ro-RO" w:eastAsia="ru-RU"/>
        </w:rPr>
      </w:pPr>
      <w:r w:rsidRPr="006E4C55">
        <w:rPr>
          <w:rFonts w:eastAsia="KaiTi"/>
          <w:color w:val="000000"/>
          <w:sz w:val="24"/>
          <w:szCs w:val="24"/>
          <w:lang w:val="ro-RO"/>
        </w:rPr>
        <w:t>În conformitate cu Titlul VII ,,Taxele locale’’ din Codul fiscal, Legea privind administrația publică locală nr. 436-XVI din 28 decembrie 2006, Legea privind finanțele publice nr.397-XV din 16.10.2003, Legea finanțelor publice și responsabilității bugetar- fiscale nr. 181 din 25.07.2014,</w:t>
      </w:r>
      <w:r w:rsidRPr="006E4C55">
        <w:rPr>
          <w:rFonts w:eastAsia="KaiTi"/>
          <w:sz w:val="24"/>
          <w:szCs w:val="24"/>
          <w:lang w:val="ro-RO"/>
        </w:rPr>
        <w:t xml:space="preserve"> Legea nr. 235-XVI din 20.06.2006 cu privire la principiile de bază de reglementare a activităţii de întreprinzător, </w:t>
      </w:r>
      <w:r w:rsidRPr="006E4C55">
        <w:rPr>
          <w:rFonts w:eastAsia="KaiTi"/>
          <w:bCs/>
          <w:sz w:val="24"/>
          <w:szCs w:val="24"/>
          <w:lang w:val="ro-RO"/>
        </w:rPr>
        <w:t xml:space="preserve">Legea </w:t>
      </w:r>
      <w:r w:rsidRPr="006E4C55">
        <w:rPr>
          <w:rFonts w:eastAsia="KaiTi"/>
          <w:sz w:val="24"/>
          <w:szCs w:val="24"/>
          <w:lang w:val="ro-RO"/>
        </w:rPr>
        <w:t>privind reglementarea prin autorizare</w:t>
      </w:r>
      <w:r w:rsidRPr="006E4C55">
        <w:rPr>
          <w:rFonts w:eastAsia="KaiTi"/>
          <w:bCs/>
          <w:sz w:val="24"/>
          <w:szCs w:val="24"/>
          <w:lang w:val="ro-RO" w:eastAsia="ru-RU"/>
        </w:rPr>
        <w:t xml:space="preserve">a activităţii de întreprinzător nr. 160  din  22.07.2011, </w:t>
      </w:r>
      <w:r w:rsidRPr="006E4C55">
        <w:rPr>
          <w:rFonts w:eastAsia="KaiTi"/>
          <w:color w:val="000000"/>
          <w:sz w:val="24"/>
          <w:szCs w:val="24"/>
          <w:lang w:val="ro-RO"/>
        </w:rPr>
        <w:t>Legea cu privire la comerţul interior nr.231 din 23.09.2010, Hotărîrea Guvernului</w:t>
      </w:r>
      <w:r w:rsidRPr="006E4C55">
        <w:rPr>
          <w:rFonts w:eastAsia="KaiTi"/>
          <w:sz w:val="24"/>
          <w:szCs w:val="24"/>
          <w:lang w:val="ro-RO"/>
        </w:rPr>
        <w:t>cu privire la desfăşurarea comerţului cu amănuntul</w:t>
      </w:r>
      <w:r w:rsidRPr="006E4C55">
        <w:rPr>
          <w:rFonts w:eastAsia="KaiTi"/>
          <w:bCs/>
          <w:sz w:val="24"/>
          <w:szCs w:val="24"/>
          <w:lang w:val="ro-RO" w:eastAsia="ru-RU"/>
        </w:rPr>
        <w:t xml:space="preserve">nr. 931  din  08.12.2011, </w:t>
      </w:r>
      <w:r w:rsidRPr="006E4C55">
        <w:rPr>
          <w:rFonts w:eastAsia="KaiTi"/>
          <w:sz w:val="24"/>
          <w:szCs w:val="24"/>
          <w:lang w:val="ro-RO"/>
        </w:rPr>
        <w:t xml:space="preserve">Hotărîrea Guvernului nr. 1209 din 08.11.2007cu privire la prestarea serviciilor de alimentaţie publică, </w:t>
      </w:r>
    </w:p>
    <w:p w:rsidR="005403B3" w:rsidRPr="006E4C55" w:rsidRDefault="005403B3" w:rsidP="005403B3">
      <w:pPr>
        <w:spacing w:line="276" w:lineRule="auto"/>
        <w:jc w:val="center"/>
        <w:rPr>
          <w:rFonts w:eastAsia="KaiTi"/>
          <w:b/>
          <w:i/>
          <w:color w:val="000000"/>
          <w:sz w:val="24"/>
          <w:szCs w:val="24"/>
          <w:lang w:val="ro-RO"/>
        </w:rPr>
      </w:pPr>
      <w:r w:rsidRPr="006E4C55">
        <w:rPr>
          <w:rFonts w:eastAsia="KaiTi"/>
          <w:b/>
          <w:i/>
          <w:color w:val="000000"/>
          <w:sz w:val="24"/>
          <w:szCs w:val="24"/>
          <w:lang w:val="ro-RO"/>
        </w:rPr>
        <w:t>Consiliul DECIDE:</w:t>
      </w:r>
    </w:p>
    <w:p w:rsidR="005403B3" w:rsidRPr="00743820" w:rsidRDefault="005403B3" w:rsidP="005403B3">
      <w:pPr>
        <w:numPr>
          <w:ilvl w:val="0"/>
          <w:numId w:val="1"/>
        </w:numPr>
        <w:spacing w:line="276" w:lineRule="auto"/>
        <w:jc w:val="both"/>
        <w:rPr>
          <w:rFonts w:eastAsia="KaiTi"/>
          <w:color w:val="000000"/>
          <w:sz w:val="24"/>
          <w:szCs w:val="24"/>
          <w:lang w:val="ro-RO"/>
        </w:rPr>
      </w:pPr>
      <w:r w:rsidRPr="00743820">
        <w:rPr>
          <w:rFonts w:eastAsia="KaiTi"/>
          <w:color w:val="000000"/>
          <w:sz w:val="24"/>
          <w:szCs w:val="24"/>
          <w:lang w:val="ro-RO"/>
        </w:rPr>
        <w:t>Se stabilește taxa pentru salubrizare, conform anexei nr.1;</w:t>
      </w:r>
    </w:p>
    <w:p w:rsidR="005403B3" w:rsidRPr="00743820" w:rsidRDefault="005403B3" w:rsidP="005403B3">
      <w:pPr>
        <w:numPr>
          <w:ilvl w:val="0"/>
          <w:numId w:val="1"/>
        </w:numPr>
        <w:jc w:val="both"/>
        <w:rPr>
          <w:rFonts w:eastAsia="KaiTi"/>
          <w:color w:val="000000"/>
          <w:sz w:val="24"/>
          <w:szCs w:val="24"/>
          <w:lang w:val="ro-RO"/>
        </w:rPr>
      </w:pPr>
      <w:r w:rsidRPr="00743820">
        <w:rPr>
          <w:rFonts w:eastAsia="KaiTi"/>
          <w:sz w:val="24"/>
          <w:szCs w:val="24"/>
          <w:lang w:val="ro-RO"/>
        </w:rPr>
        <w:t>Subiecţii impunerii, baza impozabilă a obiectelor impunerii, modul de calcularea, termenele de achitarea şi de prezentarea dării de seamă la taxele locale stabilite, conform Titlului VII al Codului fiscal.</w:t>
      </w:r>
    </w:p>
    <w:p w:rsidR="006E4C55" w:rsidRPr="00743820" w:rsidRDefault="005403B3" w:rsidP="006E4C55">
      <w:pPr>
        <w:numPr>
          <w:ilvl w:val="0"/>
          <w:numId w:val="1"/>
        </w:numPr>
        <w:jc w:val="both"/>
        <w:rPr>
          <w:rFonts w:eastAsia="KaiTi"/>
          <w:color w:val="000000"/>
          <w:sz w:val="24"/>
          <w:szCs w:val="24"/>
          <w:lang w:val="ro-RO"/>
        </w:rPr>
      </w:pPr>
      <w:r w:rsidRPr="00743820">
        <w:rPr>
          <w:rFonts w:eastAsia="KaiTi"/>
          <w:sz w:val="24"/>
          <w:szCs w:val="24"/>
          <w:lang w:val="ro-RO"/>
        </w:rPr>
        <w:t>Prezenta decizie în termen de 15 zile din data adoptării, urmează a fi adusă la cunoştinţă contribuabililor şi prezentată subdiviziunilor structurale teritoriale din cadrul Serviciului Fiscal de Stat.</w:t>
      </w:r>
    </w:p>
    <w:p w:rsidR="00743820" w:rsidRPr="00743820" w:rsidRDefault="00743820" w:rsidP="006E4C55">
      <w:pPr>
        <w:numPr>
          <w:ilvl w:val="0"/>
          <w:numId w:val="1"/>
        </w:numPr>
        <w:jc w:val="both"/>
        <w:rPr>
          <w:rFonts w:eastAsia="KaiTi"/>
          <w:color w:val="000000"/>
          <w:sz w:val="24"/>
          <w:szCs w:val="24"/>
          <w:lang w:val="ro-RO"/>
        </w:rPr>
      </w:pPr>
      <w:r>
        <w:rPr>
          <w:rFonts w:eastAsia="KaiTi"/>
          <w:sz w:val="24"/>
          <w:szCs w:val="24"/>
          <w:lang w:val="ro-RO"/>
        </w:rPr>
        <w:t>Evacuarea deșeurilor, c</w:t>
      </w:r>
      <w:r w:rsidR="001D1403">
        <w:rPr>
          <w:rFonts w:eastAsia="KaiTi"/>
          <w:sz w:val="24"/>
          <w:szCs w:val="24"/>
          <w:lang w:val="ro-RO"/>
        </w:rPr>
        <w:t xml:space="preserve">e depășesc cantități normale de utilizare curentă se efectuează, conform tarifului pentru prestarea serviciilor de transportare a deșeurilor și regulamentului, ce urmează a fi aprobat suplimentar. </w:t>
      </w:r>
    </w:p>
    <w:p w:rsidR="006E4C55" w:rsidRPr="00743820" w:rsidRDefault="00743820" w:rsidP="006E4C55">
      <w:pPr>
        <w:pStyle w:val="a6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743820">
        <w:rPr>
          <w:sz w:val="24"/>
          <w:szCs w:val="24"/>
          <w:lang w:val="ro-RO"/>
        </w:rPr>
        <w:t>Decizia i</w:t>
      </w:r>
      <w:r w:rsidR="006E4C55" w:rsidRPr="00743820">
        <w:rPr>
          <w:sz w:val="24"/>
          <w:szCs w:val="24"/>
          <w:lang w:val="ro-RO"/>
        </w:rPr>
        <w:t>ntră în vigoare de la data înregistrării acestuia în registrul de Stat a actelor locale</w:t>
      </w:r>
      <w:r w:rsidRPr="00743820">
        <w:rPr>
          <w:sz w:val="24"/>
          <w:szCs w:val="24"/>
          <w:lang w:val="ro-RO"/>
        </w:rPr>
        <w:t>.</w:t>
      </w:r>
      <w:r w:rsidR="006E4C55" w:rsidRPr="00743820">
        <w:rPr>
          <w:sz w:val="24"/>
          <w:szCs w:val="24"/>
          <w:lang w:val="ro-RO"/>
        </w:rPr>
        <w:t xml:space="preserve">   </w:t>
      </w:r>
    </w:p>
    <w:p w:rsidR="006E4C55" w:rsidRPr="00743820" w:rsidRDefault="00743820" w:rsidP="00743820">
      <w:pPr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Controlul </w:t>
      </w:r>
      <w:r w:rsidR="006E4C55" w:rsidRPr="00743820">
        <w:rPr>
          <w:sz w:val="24"/>
          <w:szCs w:val="24"/>
          <w:lang w:val="en-US"/>
        </w:rPr>
        <w:t>execut</w:t>
      </w:r>
      <w:r w:rsidR="006E4C55" w:rsidRPr="00743820">
        <w:rPr>
          <w:sz w:val="24"/>
          <w:szCs w:val="24"/>
          <w:lang w:val="ro-RO"/>
        </w:rPr>
        <w:t xml:space="preserve">ării prezentei Decizii revine pe seama </w:t>
      </w:r>
      <w:r w:rsidR="006E4C55" w:rsidRPr="00743820">
        <w:rPr>
          <w:sz w:val="24"/>
          <w:szCs w:val="24"/>
          <w:lang w:val="en-GB"/>
        </w:rPr>
        <w:t xml:space="preserve"> </w:t>
      </w:r>
      <w:r w:rsidR="006E4C55" w:rsidRPr="00743820">
        <w:rPr>
          <w:sz w:val="24"/>
          <w:szCs w:val="24"/>
          <w:lang w:val="ro-RO"/>
        </w:rPr>
        <w:t xml:space="preserve"> primarului comunei Jora de Mijloc LABLIUC </w:t>
      </w:r>
      <w:proofErr w:type="gramStart"/>
      <w:r w:rsidR="006E4C55" w:rsidRPr="00743820">
        <w:rPr>
          <w:sz w:val="24"/>
          <w:szCs w:val="24"/>
          <w:lang w:val="ro-RO"/>
        </w:rPr>
        <w:t>Serghei .</w:t>
      </w:r>
      <w:proofErr w:type="gramEnd"/>
    </w:p>
    <w:p w:rsidR="006E4C55" w:rsidRPr="00743820" w:rsidRDefault="006E4C55" w:rsidP="006E4C55">
      <w:pPr>
        <w:rPr>
          <w:sz w:val="24"/>
          <w:szCs w:val="24"/>
          <w:lang w:val="ro-RO"/>
        </w:rPr>
      </w:pPr>
    </w:p>
    <w:p w:rsidR="006E4C55" w:rsidRPr="00743820" w:rsidRDefault="006E4C55" w:rsidP="006E4C55">
      <w:pPr>
        <w:rPr>
          <w:b/>
          <w:sz w:val="24"/>
          <w:szCs w:val="24"/>
          <w:lang w:val="en-US"/>
        </w:rPr>
      </w:pPr>
      <w:r w:rsidRPr="00743820">
        <w:rPr>
          <w:b/>
          <w:sz w:val="24"/>
          <w:szCs w:val="24"/>
          <w:lang w:val="ro-RO"/>
        </w:rPr>
        <w:t xml:space="preserve">      </w:t>
      </w:r>
      <w:r w:rsidRPr="00743820">
        <w:rPr>
          <w:b/>
          <w:sz w:val="24"/>
          <w:szCs w:val="24"/>
          <w:lang w:val="en-US"/>
        </w:rPr>
        <w:t xml:space="preserve">Președinte </w:t>
      </w:r>
      <w:proofErr w:type="gramStart"/>
      <w:r w:rsidRPr="00743820">
        <w:rPr>
          <w:b/>
          <w:sz w:val="24"/>
          <w:szCs w:val="24"/>
          <w:lang w:val="en-US"/>
        </w:rPr>
        <w:t>de  ș</w:t>
      </w:r>
      <w:proofErr w:type="gramEnd"/>
      <w:r w:rsidRPr="00743820">
        <w:rPr>
          <w:b/>
          <w:sz w:val="24"/>
          <w:szCs w:val="24"/>
          <w:lang w:val="en-US"/>
        </w:rPr>
        <w:t>edință                     ___________________</w:t>
      </w:r>
    </w:p>
    <w:p w:rsidR="006E4C55" w:rsidRPr="00743820" w:rsidRDefault="006E4C55" w:rsidP="006E4C55">
      <w:pPr>
        <w:rPr>
          <w:b/>
          <w:i/>
          <w:sz w:val="24"/>
          <w:szCs w:val="24"/>
          <w:lang w:val="en-US"/>
        </w:rPr>
      </w:pPr>
      <w:r w:rsidRPr="00743820">
        <w:rPr>
          <w:b/>
          <w:sz w:val="24"/>
          <w:szCs w:val="24"/>
          <w:lang w:val="en-US"/>
        </w:rPr>
        <w:t xml:space="preserve">     </w:t>
      </w:r>
      <w:proofErr w:type="gramStart"/>
      <w:r w:rsidRPr="00743820">
        <w:rPr>
          <w:b/>
          <w:i/>
          <w:sz w:val="24"/>
          <w:szCs w:val="24"/>
          <w:lang w:val="en-US"/>
        </w:rPr>
        <w:t>Contrasemnează  :</w:t>
      </w:r>
      <w:proofErr w:type="gramEnd"/>
      <w:r w:rsidRPr="00743820">
        <w:rPr>
          <w:b/>
          <w:i/>
          <w:sz w:val="24"/>
          <w:szCs w:val="24"/>
          <w:lang w:val="en-US"/>
        </w:rPr>
        <w:t xml:space="preserve">                                         </w:t>
      </w:r>
      <w:r w:rsidRPr="00743820">
        <w:rPr>
          <w:i/>
          <w:sz w:val="24"/>
          <w:szCs w:val="24"/>
          <w:lang w:val="en-US"/>
        </w:rPr>
        <w:t xml:space="preserve">       </w:t>
      </w:r>
    </w:p>
    <w:p w:rsidR="006E4C55" w:rsidRPr="00743820" w:rsidRDefault="006E4C55" w:rsidP="006E4C55">
      <w:pPr>
        <w:rPr>
          <w:sz w:val="24"/>
          <w:szCs w:val="24"/>
          <w:lang w:val="en-US"/>
        </w:rPr>
      </w:pPr>
    </w:p>
    <w:p w:rsidR="006E4C55" w:rsidRPr="00743820" w:rsidRDefault="006E4C55" w:rsidP="006E4C55">
      <w:pPr>
        <w:pStyle w:val="a8"/>
        <w:jc w:val="both"/>
        <w:rPr>
          <w:rFonts w:ascii="Times New Roman" w:hAnsi="Times New Roman" w:cs="Times New Roman"/>
          <w:b/>
          <w:lang w:val="ro-RO"/>
        </w:rPr>
      </w:pPr>
      <w:r w:rsidRPr="00743820">
        <w:rPr>
          <w:rFonts w:ascii="Times New Roman" w:hAnsi="Times New Roman" w:cs="Times New Roman"/>
          <w:b/>
          <w:lang w:val="ro-RO"/>
        </w:rPr>
        <w:t xml:space="preserve">     Secretarul Consiliului comunal Jora de Mijloc</w:t>
      </w:r>
    </w:p>
    <w:p w:rsidR="006E4C55" w:rsidRPr="00743820" w:rsidRDefault="006E4C55" w:rsidP="006E4C55">
      <w:pPr>
        <w:pStyle w:val="a8"/>
        <w:jc w:val="both"/>
        <w:rPr>
          <w:rFonts w:ascii="Times New Roman" w:hAnsi="Times New Roman" w:cs="Times New Roman"/>
          <w:b/>
          <w:lang w:val="ro-RO"/>
        </w:rPr>
      </w:pPr>
      <w:r w:rsidRPr="00743820">
        <w:rPr>
          <w:rFonts w:ascii="Times New Roman" w:hAnsi="Times New Roman" w:cs="Times New Roman"/>
          <w:b/>
          <w:lang w:val="ro-RO"/>
        </w:rPr>
        <w:t xml:space="preserve">     PANTAZ Parascovia ___________________</w:t>
      </w:r>
    </w:p>
    <w:p w:rsidR="006E4C55" w:rsidRPr="00743820" w:rsidRDefault="006E4C55" w:rsidP="006E4C55">
      <w:pPr>
        <w:rPr>
          <w:sz w:val="24"/>
          <w:szCs w:val="24"/>
          <w:lang w:val="ro-RO"/>
        </w:rPr>
      </w:pPr>
    </w:p>
    <w:p w:rsidR="006E4C55" w:rsidRPr="00743820" w:rsidRDefault="006E4C55" w:rsidP="006E4C55">
      <w:pPr>
        <w:ind w:left="720"/>
        <w:jc w:val="both"/>
        <w:rPr>
          <w:rFonts w:eastAsia="KaiTi"/>
          <w:color w:val="000000"/>
          <w:sz w:val="24"/>
          <w:szCs w:val="24"/>
          <w:lang w:val="ro-RO"/>
        </w:rPr>
      </w:pPr>
    </w:p>
    <w:p w:rsidR="005403B3" w:rsidRPr="006E4C55" w:rsidRDefault="005403B3" w:rsidP="005403B3">
      <w:pPr>
        <w:jc w:val="right"/>
        <w:rPr>
          <w:rFonts w:eastAsia="KaiTi"/>
          <w:i/>
          <w:sz w:val="24"/>
          <w:szCs w:val="24"/>
          <w:lang w:val="ro-RO"/>
        </w:rPr>
      </w:pPr>
      <w:r w:rsidRPr="006E4C55">
        <w:rPr>
          <w:rFonts w:eastAsia="KaiTi"/>
          <w:i/>
          <w:sz w:val="24"/>
          <w:szCs w:val="24"/>
          <w:lang w:val="ro-RO"/>
        </w:rPr>
        <w:t>Anexa nr.1</w:t>
      </w:r>
      <w:r w:rsidRPr="006E4C55">
        <w:rPr>
          <w:rFonts w:eastAsia="KaiTi"/>
          <w:i/>
          <w:sz w:val="24"/>
          <w:szCs w:val="24"/>
          <w:lang w:val="ro-RO"/>
        </w:rPr>
        <w:br/>
        <w:t xml:space="preserve"> la decizia Consiliului</w:t>
      </w:r>
    </w:p>
    <w:p w:rsidR="005403B3" w:rsidRPr="006E4C55" w:rsidRDefault="005403B3" w:rsidP="005403B3">
      <w:pPr>
        <w:jc w:val="right"/>
        <w:rPr>
          <w:rFonts w:eastAsia="KaiTi"/>
          <w:i/>
          <w:color w:val="FFFFFF"/>
          <w:sz w:val="24"/>
          <w:szCs w:val="24"/>
          <w:u w:val="single"/>
          <w:lang w:val="ro-RO"/>
        </w:rPr>
      </w:pPr>
      <w:r w:rsidRPr="006E4C55">
        <w:rPr>
          <w:rFonts w:eastAsia="KaiTi"/>
          <w:i/>
          <w:sz w:val="24"/>
          <w:szCs w:val="24"/>
          <w:lang w:val="ro-RO"/>
        </w:rPr>
        <w:t xml:space="preserve">  nr. ____ din 19</w:t>
      </w:r>
      <w:r w:rsidR="006E4C55">
        <w:rPr>
          <w:rFonts w:eastAsia="KaiTi"/>
          <w:i/>
          <w:sz w:val="24"/>
          <w:szCs w:val="24"/>
          <w:lang w:val="ro-RO"/>
        </w:rPr>
        <w:t>.11.2020</w:t>
      </w:r>
      <w:r w:rsidRPr="006E4C55">
        <w:rPr>
          <w:rFonts w:eastAsia="KaiTi"/>
          <w:i/>
          <w:sz w:val="24"/>
          <w:szCs w:val="24"/>
          <w:lang w:val="ro-RO"/>
        </w:rPr>
        <w:t xml:space="preserve"> </w:t>
      </w:r>
      <w:r w:rsidRPr="006E4C55">
        <w:rPr>
          <w:rFonts w:eastAsia="KaiTi"/>
          <w:i/>
          <w:color w:val="FFFFFF"/>
          <w:sz w:val="24"/>
          <w:szCs w:val="24"/>
          <w:u w:val="single"/>
          <w:lang w:val="ro-RO"/>
        </w:rPr>
        <w:t>.</w:t>
      </w:r>
    </w:p>
    <w:p w:rsidR="005403B3" w:rsidRPr="006E4C55" w:rsidRDefault="005403B3" w:rsidP="005403B3">
      <w:pPr>
        <w:jc w:val="right"/>
        <w:rPr>
          <w:rFonts w:eastAsia="KaiTi"/>
          <w:i/>
          <w:color w:val="FFFFFF"/>
          <w:sz w:val="24"/>
          <w:szCs w:val="24"/>
          <w:u w:val="single"/>
          <w:lang w:val="ro-RO"/>
        </w:rPr>
      </w:pPr>
    </w:p>
    <w:p w:rsidR="005403B3" w:rsidRPr="006E4C55" w:rsidRDefault="005403B3" w:rsidP="006E4C55">
      <w:pPr>
        <w:jc w:val="center"/>
        <w:rPr>
          <w:rFonts w:eastAsia="KaiTi"/>
          <w:i/>
          <w:sz w:val="24"/>
          <w:szCs w:val="24"/>
          <w:u w:val="single"/>
          <w:lang w:val="ro-RO"/>
        </w:rPr>
      </w:pPr>
    </w:p>
    <w:p w:rsidR="005403B3" w:rsidRPr="006E4C55" w:rsidRDefault="005403B3" w:rsidP="006E4C55">
      <w:pPr>
        <w:jc w:val="center"/>
        <w:rPr>
          <w:rFonts w:eastAsia="KaiTi"/>
          <w:b/>
          <w:i/>
          <w:sz w:val="24"/>
          <w:szCs w:val="24"/>
          <w:lang w:val="ro-RO"/>
        </w:rPr>
      </w:pPr>
      <w:r w:rsidRPr="006E4C55">
        <w:rPr>
          <w:rFonts w:eastAsia="KaiTi"/>
          <w:b/>
          <w:i/>
          <w:sz w:val="24"/>
          <w:szCs w:val="24"/>
          <w:lang w:val="ro-RO"/>
        </w:rPr>
        <w:t>Taxa pentru amenajarea teritoriului</w:t>
      </w:r>
    </w:p>
    <w:p w:rsidR="005403B3" w:rsidRPr="006E4C55" w:rsidRDefault="005403B3" w:rsidP="005403B3">
      <w:pPr>
        <w:rPr>
          <w:rFonts w:eastAsia="KaiTi"/>
          <w:b/>
          <w:i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b/>
          <w:i/>
          <w:sz w:val="24"/>
          <w:szCs w:val="24"/>
          <w:lang w:val="ro-RO"/>
        </w:rPr>
      </w:pPr>
    </w:p>
    <w:tbl>
      <w:tblPr>
        <w:tblStyle w:val="a3"/>
        <w:tblW w:w="0" w:type="auto"/>
        <w:tblLook w:val="04A0"/>
      </w:tblPr>
      <w:tblGrid>
        <w:gridCol w:w="800"/>
        <w:gridCol w:w="4601"/>
        <w:gridCol w:w="4170"/>
      </w:tblGrid>
      <w:tr w:rsidR="005403B3" w:rsidRPr="006E4C55" w:rsidTr="00B869C3">
        <w:tc>
          <w:tcPr>
            <w:tcW w:w="817" w:type="dxa"/>
          </w:tcPr>
          <w:p w:rsidR="005403B3" w:rsidRPr="006E4C55" w:rsidRDefault="005403B3" w:rsidP="00B869C3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  <w:r w:rsidRPr="006E4C55">
              <w:rPr>
                <w:rFonts w:eastAsia="KaiTi"/>
                <w:b/>
                <w:i/>
                <w:sz w:val="24"/>
                <w:szCs w:val="24"/>
                <w:lang w:val="ro-RO"/>
              </w:rPr>
              <w:t>Nr.</w:t>
            </w:r>
            <w:r w:rsidRPr="006E4C55">
              <w:rPr>
                <w:rFonts w:eastAsia="KaiTi"/>
                <w:b/>
                <w:i/>
                <w:sz w:val="24"/>
                <w:szCs w:val="24"/>
                <w:lang w:val="ro-RO"/>
              </w:rPr>
              <w:br/>
              <w:t>d/o</w:t>
            </w:r>
          </w:p>
        </w:tc>
        <w:tc>
          <w:tcPr>
            <w:tcW w:w="4820" w:type="dxa"/>
          </w:tcPr>
          <w:p w:rsidR="005403B3" w:rsidRPr="006E4C55" w:rsidRDefault="005403B3" w:rsidP="00B869C3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  <w:r w:rsidRPr="006E4C55"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  <w:t>Deccdd</w:t>
            </w:r>
            <w:r w:rsidRPr="006E4C55">
              <w:rPr>
                <w:rFonts w:eastAsia="KaiTi"/>
                <w:b/>
                <w:i/>
                <w:sz w:val="24"/>
                <w:szCs w:val="24"/>
                <w:lang w:val="ro-RO"/>
              </w:rPr>
              <w:t xml:space="preserve"> Denumirea taxei</w:t>
            </w:r>
            <w:r w:rsidRPr="006E4C55"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  <w:t xml:space="preserve"> dccsdd</w:t>
            </w:r>
          </w:p>
        </w:tc>
        <w:tc>
          <w:tcPr>
            <w:tcW w:w="4360" w:type="dxa"/>
          </w:tcPr>
          <w:p w:rsidR="005403B3" w:rsidRPr="006E4C55" w:rsidRDefault="005403B3" w:rsidP="00B869C3">
            <w:pPr>
              <w:rPr>
                <w:rFonts w:eastAsia="KaiTi"/>
                <w:b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b/>
                <w:sz w:val="24"/>
                <w:szCs w:val="24"/>
                <w:lang w:val="ro-RO"/>
              </w:rPr>
              <w:t>Cota taxei de bază</w:t>
            </w:r>
          </w:p>
          <w:p w:rsidR="005403B3" w:rsidRPr="006E4C55" w:rsidRDefault="005403B3" w:rsidP="00B869C3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  <w:tr w:rsidR="005403B3" w:rsidRPr="006E4C55" w:rsidTr="00B869C3">
        <w:tc>
          <w:tcPr>
            <w:tcW w:w="817" w:type="dxa"/>
          </w:tcPr>
          <w:p w:rsidR="005403B3" w:rsidRPr="006E4C55" w:rsidRDefault="005403B3" w:rsidP="00B869C3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  <w:r w:rsidRPr="006E4C55"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  <w:t>1</w:t>
            </w:r>
            <w:r w:rsidRPr="006E4C55">
              <w:rPr>
                <w:rFonts w:eastAsia="KaiTi"/>
                <w:sz w:val="24"/>
                <w:szCs w:val="24"/>
                <w:lang w:val="ro-RO"/>
              </w:rPr>
              <w:t>1.</w:t>
            </w:r>
          </w:p>
        </w:tc>
        <w:tc>
          <w:tcPr>
            <w:tcW w:w="4820" w:type="dxa"/>
          </w:tcPr>
          <w:p w:rsidR="005403B3" w:rsidRPr="006E4C55" w:rsidRDefault="005403B3" w:rsidP="005403B3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  <w:r w:rsidRPr="006E4C55">
              <w:rPr>
                <w:rFonts w:eastAsia="KaiTi"/>
                <w:color w:val="000000"/>
                <w:sz w:val="24"/>
                <w:szCs w:val="24"/>
                <w:lang w:val="ro-RO"/>
              </w:rPr>
              <w:t>Taxa pentru salubrizare</w:t>
            </w:r>
          </w:p>
        </w:tc>
        <w:tc>
          <w:tcPr>
            <w:tcW w:w="4360" w:type="dxa"/>
          </w:tcPr>
          <w:p w:rsidR="006E4C55" w:rsidRDefault="005403B3" w:rsidP="006E4C55">
            <w:pPr>
              <w:rPr>
                <w:rFonts w:eastAsia="KaiTi"/>
                <w:sz w:val="24"/>
                <w:szCs w:val="24"/>
                <w:lang w:val="ro-RO"/>
              </w:rPr>
            </w:pPr>
            <w:r w:rsidRPr="006E4C55">
              <w:rPr>
                <w:rFonts w:eastAsia="KaiTi"/>
                <w:sz w:val="24"/>
                <w:szCs w:val="24"/>
                <w:lang w:val="ro-RO"/>
              </w:rPr>
              <w:t>Numărul de persoane fizice înscrise la</w:t>
            </w:r>
            <w:r w:rsidR="006E4C55" w:rsidRPr="006E4C55">
              <w:rPr>
                <w:rFonts w:eastAsia="KaiTi"/>
                <w:sz w:val="24"/>
                <w:szCs w:val="24"/>
                <w:lang w:val="ro-RO"/>
              </w:rPr>
              <w:t xml:space="preserve"> adresa declarată ca domiciliu </w:t>
            </w:r>
            <w:r w:rsidR="006E4C55">
              <w:rPr>
                <w:rFonts w:eastAsia="KaiTi"/>
                <w:sz w:val="24"/>
                <w:szCs w:val="24"/>
                <w:lang w:val="ro-RO"/>
              </w:rPr>
              <w:t>5</w:t>
            </w:r>
            <w:r w:rsidRPr="006E4C55">
              <w:rPr>
                <w:rFonts w:eastAsia="KaiTi"/>
                <w:sz w:val="24"/>
                <w:szCs w:val="24"/>
                <w:lang w:val="ro-RO"/>
              </w:rPr>
              <w:t xml:space="preserve"> lei lunar pentru fiecare domiciliat înscris la adresa respectivă</w:t>
            </w:r>
            <w:r w:rsidR="00743820">
              <w:rPr>
                <w:rFonts w:eastAsia="KaiTi"/>
                <w:sz w:val="24"/>
                <w:szCs w:val="24"/>
                <w:lang w:val="ro-RO"/>
              </w:rPr>
              <w:t xml:space="preserve">. </w:t>
            </w:r>
          </w:p>
          <w:p w:rsidR="005403B3" w:rsidRPr="006E4C55" w:rsidRDefault="005403B3" w:rsidP="006E4C55">
            <w:pPr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</w:pPr>
            <w:r w:rsidRPr="006E4C55">
              <w:rPr>
                <w:rFonts w:eastAsia="KaiTi"/>
                <w:sz w:val="24"/>
                <w:szCs w:val="24"/>
                <w:lang w:val="ro-RO"/>
              </w:rPr>
              <w:t>C</w:t>
            </w:r>
            <w:r w:rsidR="006E4C55">
              <w:rPr>
                <w:rFonts w:eastAsia="KaiTi"/>
                <w:sz w:val="24"/>
                <w:szCs w:val="24"/>
                <w:lang w:val="ro-RO"/>
              </w:rPr>
              <w:t xml:space="preserve">opiii pînă la vîrsta de 7 ani </w:t>
            </w:r>
            <w:r w:rsidRPr="006E4C55">
              <w:rPr>
                <w:rFonts w:eastAsia="KaiTi"/>
                <w:sz w:val="24"/>
                <w:szCs w:val="24"/>
                <w:lang w:val="ro-RO"/>
              </w:rPr>
              <w:t>şi invalizii de gradul I sunt scutiţi de taxa pentru salubrizare</w:t>
            </w:r>
            <w:r w:rsidR="006E4C55">
              <w:rPr>
                <w:rFonts w:eastAsia="KaiTi"/>
                <w:sz w:val="24"/>
                <w:szCs w:val="24"/>
                <w:lang w:val="ro-RO"/>
              </w:rPr>
              <w:t>.</w:t>
            </w:r>
            <w:r w:rsidRPr="006E4C55">
              <w:rPr>
                <w:rFonts w:eastAsia="KaiTi"/>
                <w:i/>
                <w:color w:val="FFFFFF"/>
                <w:sz w:val="24"/>
                <w:szCs w:val="24"/>
                <w:u w:val="single"/>
                <w:lang w:val="ro-RO"/>
              </w:rPr>
              <w:t xml:space="preserve">                                                                        kj</w:t>
            </w:r>
          </w:p>
        </w:tc>
      </w:tr>
    </w:tbl>
    <w:p w:rsidR="005403B3" w:rsidRPr="006E4C55" w:rsidRDefault="005403B3" w:rsidP="005403B3">
      <w:pPr>
        <w:rPr>
          <w:rFonts w:eastAsia="KaiTi"/>
          <w:i/>
          <w:color w:val="FFFFFF"/>
          <w:sz w:val="24"/>
          <w:szCs w:val="24"/>
          <w:u w:val="single"/>
          <w:lang w:val="ro-RO"/>
        </w:rPr>
      </w:pPr>
    </w:p>
    <w:p w:rsidR="005403B3" w:rsidRPr="006E4C55" w:rsidRDefault="005403B3" w:rsidP="005403B3">
      <w:pPr>
        <w:rPr>
          <w:rFonts w:eastAsia="KaiTi"/>
          <w:i/>
          <w:color w:val="FFFFFF"/>
          <w:sz w:val="24"/>
          <w:szCs w:val="24"/>
          <w:u w:val="single"/>
          <w:lang w:val="ro-RO"/>
        </w:rPr>
      </w:pPr>
      <w:r w:rsidRPr="006E4C55">
        <w:rPr>
          <w:rFonts w:eastAsia="KaiTi"/>
          <w:i/>
          <w:color w:val="FFFFFF"/>
          <w:sz w:val="24"/>
          <w:szCs w:val="24"/>
          <w:u w:val="single"/>
          <w:lang w:val="ro-RO"/>
        </w:rPr>
        <w:t xml:space="preserve">                      </w:t>
      </w:r>
    </w:p>
    <w:p w:rsidR="005403B3" w:rsidRPr="006E4C55" w:rsidRDefault="005403B3" w:rsidP="005403B3">
      <w:pPr>
        <w:spacing w:line="276" w:lineRule="auto"/>
        <w:rPr>
          <w:rFonts w:eastAsia="KaiTi"/>
          <w:color w:val="FFFFFF"/>
          <w:sz w:val="24"/>
          <w:szCs w:val="24"/>
          <w:u w:val="single"/>
          <w:lang w:val="ro-RO"/>
        </w:rPr>
      </w:pPr>
      <w:r w:rsidRPr="006E4C55">
        <w:rPr>
          <w:rFonts w:eastAsia="KaiTi"/>
          <w:color w:val="FFFFFF"/>
          <w:sz w:val="24"/>
          <w:szCs w:val="24"/>
          <w:u w:val="single"/>
          <w:lang w:val="ro-RO"/>
        </w:rPr>
        <w:t>80</w:t>
      </w:r>
    </w:p>
    <w:p w:rsidR="005403B3" w:rsidRPr="00743820" w:rsidRDefault="005403B3" w:rsidP="005403B3">
      <w:pPr>
        <w:rPr>
          <w:rFonts w:eastAsia="KaiTi"/>
          <w:b/>
          <w:sz w:val="24"/>
          <w:szCs w:val="24"/>
          <w:lang w:val="ro-RO"/>
        </w:rPr>
      </w:pPr>
      <w:r w:rsidRPr="00743820">
        <w:rPr>
          <w:rFonts w:eastAsia="KaiTi"/>
          <w:b/>
          <w:sz w:val="24"/>
          <w:szCs w:val="24"/>
          <w:lang w:val="ro-RO"/>
        </w:rPr>
        <w:t>SECRETAR</w:t>
      </w:r>
      <w:r w:rsidR="006E4C55" w:rsidRPr="00743820">
        <w:rPr>
          <w:rFonts w:eastAsia="KaiTi"/>
          <w:b/>
          <w:sz w:val="24"/>
          <w:szCs w:val="24"/>
          <w:lang w:val="ro-RO"/>
        </w:rPr>
        <w:t xml:space="preserve"> </w:t>
      </w:r>
      <w:r w:rsidRPr="00743820">
        <w:rPr>
          <w:rFonts w:eastAsia="KaiTi"/>
          <w:b/>
          <w:sz w:val="24"/>
          <w:szCs w:val="24"/>
          <w:lang w:val="ro-RO"/>
        </w:rPr>
        <w:t xml:space="preserve">AL CONSILIULUI                                        </w:t>
      </w:r>
      <w:r w:rsidR="00743820" w:rsidRPr="00743820">
        <w:rPr>
          <w:rFonts w:eastAsia="KaiTi"/>
          <w:b/>
          <w:sz w:val="24"/>
          <w:szCs w:val="24"/>
          <w:lang w:val="ro-RO"/>
        </w:rPr>
        <w:t>Parascovia Pantaz</w:t>
      </w:r>
    </w:p>
    <w:p w:rsidR="00743820" w:rsidRPr="00743820" w:rsidRDefault="00743820" w:rsidP="005403B3">
      <w:pPr>
        <w:rPr>
          <w:rFonts w:eastAsia="KaiTi"/>
          <w:b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5403B3">
      <w:pPr>
        <w:rPr>
          <w:rFonts w:eastAsia="KaiTi"/>
          <w:sz w:val="24"/>
          <w:szCs w:val="24"/>
          <w:lang w:val="ro-RO"/>
        </w:rPr>
      </w:pPr>
    </w:p>
    <w:p w:rsidR="00743820" w:rsidRDefault="00743820" w:rsidP="00743820">
      <w:pPr>
        <w:jc w:val="center"/>
        <w:rPr>
          <w:rFonts w:eastAsia="KaiTi"/>
          <w:b/>
          <w:sz w:val="24"/>
          <w:szCs w:val="24"/>
          <w:lang w:val="ro-RO"/>
        </w:rPr>
      </w:pPr>
      <w:r w:rsidRPr="00743820">
        <w:rPr>
          <w:rFonts w:eastAsia="KaiTi"/>
          <w:b/>
          <w:sz w:val="24"/>
          <w:szCs w:val="24"/>
          <w:lang w:val="ro-RO"/>
        </w:rPr>
        <w:t>NOTĂ INFORMATIVĂ</w:t>
      </w:r>
    </w:p>
    <w:p w:rsidR="00743820" w:rsidRDefault="00743820" w:rsidP="00743820">
      <w:pPr>
        <w:jc w:val="center"/>
        <w:rPr>
          <w:rFonts w:eastAsia="KaiTi"/>
          <w:b/>
          <w:sz w:val="24"/>
          <w:szCs w:val="24"/>
          <w:lang w:val="ro-RO"/>
        </w:rPr>
      </w:pPr>
    </w:p>
    <w:p w:rsidR="00743820" w:rsidRDefault="00743820" w:rsidP="00743820">
      <w:pPr>
        <w:jc w:val="both"/>
        <w:rPr>
          <w:rFonts w:eastAsia="KaiTi"/>
          <w:sz w:val="24"/>
          <w:szCs w:val="24"/>
          <w:lang w:val="ro-RO"/>
        </w:rPr>
      </w:pPr>
      <w:r>
        <w:rPr>
          <w:rFonts w:eastAsia="KaiTi"/>
          <w:sz w:val="24"/>
          <w:szCs w:val="24"/>
          <w:lang w:val="ro-RO"/>
        </w:rPr>
        <w:tab/>
        <w:t xml:space="preserve">Prezentul proiect de decizie este dedicat aprobării taxei de salubrizare necesare asigurării de către APL com. Jora de Mijloc a asigurării salubrizării spațiilor publice și evacuării gunoiului pe teritoriul comunei Jora de Mijloc. </w:t>
      </w:r>
    </w:p>
    <w:p w:rsidR="00743820" w:rsidRDefault="00743820" w:rsidP="00743820">
      <w:pPr>
        <w:jc w:val="both"/>
        <w:rPr>
          <w:rFonts w:eastAsia="KaiTi"/>
          <w:sz w:val="24"/>
          <w:szCs w:val="24"/>
          <w:lang w:val="ro-RO"/>
        </w:rPr>
      </w:pPr>
    </w:p>
    <w:p w:rsidR="00743820" w:rsidRPr="00743820" w:rsidRDefault="00743820" w:rsidP="00743820">
      <w:pPr>
        <w:jc w:val="both"/>
        <w:rPr>
          <w:rFonts w:eastAsia="KaiTi"/>
          <w:b/>
          <w:color w:val="FFFFFF"/>
          <w:sz w:val="24"/>
          <w:szCs w:val="24"/>
          <w:lang w:val="ro-RO"/>
        </w:rPr>
      </w:pPr>
      <w:r>
        <w:rPr>
          <w:rFonts w:eastAsia="KaiTi"/>
          <w:sz w:val="24"/>
          <w:szCs w:val="24"/>
          <w:lang w:val="ro-RO"/>
        </w:rPr>
        <w:tab/>
      </w:r>
      <w:r w:rsidRPr="00743820">
        <w:rPr>
          <w:rFonts w:eastAsia="KaiTi"/>
          <w:b/>
          <w:sz w:val="24"/>
          <w:szCs w:val="24"/>
          <w:lang w:val="ro-RO"/>
        </w:rPr>
        <w:t>Primar                                                                              Serghei Labliuc</w:t>
      </w: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  <w:r w:rsidRPr="006E4C55">
        <w:rPr>
          <w:rFonts w:eastAsia="KaiTi"/>
          <w:color w:val="FFFFFF"/>
          <w:sz w:val="24"/>
          <w:szCs w:val="24"/>
          <w:lang w:val="ro-RO"/>
        </w:rPr>
        <w:t>8888</w:t>
      </w: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p w:rsidR="005403B3" w:rsidRPr="006E4C55" w:rsidRDefault="005403B3" w:rsidP="005403B3">
      <w:pPr>
        <w:rPr>
          <w:rFonts w:eastAsia="KaiTi"/>
          <w:color w:val="FFFFFF"/>
          <w:sz w:val="24"/>
          <w:szCs w:val="24"/>
          <w:lang w:val="ro-RO"/>
        </w:rPr>
      </w:pPr>
    </w:p>
    <w:sectPr w:rsidR="005403B3" w:rsidRPr="006E4C55" w:rsidSect="00B5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7DB2"/>
    <w:multiLevelType w:val="hybridMultilevel"/>
    <w:tmpl w:val="E244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5403B3"/>
    <w:rsid w:val="001D1403"/>
    <w:rsid w:val="004E15EB"/>
    <w:rsid w:val="005403B3"/>
    <w:rsid w:val="006E4C55"/>
    <w:rsid w:val="00743820"/>
    <w:rsid w:val="009A4152"/>
    <w:rsid w:val="00A4628A"/>
    <w:rsid w:val="00A85310"/>
    <w:rsid w:val="00B5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540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3B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4C55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6E4C55"/>
    <w:rPr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6E4C55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2020-11-19T11:21:00Z</dcterms:created>
  <dcterms:modified xsi:type="dcterms:W3CDTF">2020-11-19T11:49:00Z</dcterms:modified>
</cp:coreProperties>
</file>